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León, Guanajuato, a 06 seis de abril del año 2018 dos mil dieciocho.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b/>
          <w:sz w:val="24"/>
          <w:szCs w:val="24"/>
          <w:lang w:val="es-ES" w:eastAsia="es-ES"/>
        </w:rPr>
        <w:t>V I S T O</w:t>
      </w:r>
      <w:r w:rsidRPr="00063889">
        <w:rPr>
          <w:rFonts w:ascii="Century" w:eastAsia="Calibri" w:hAnsi="Century" w:cs="Times New Roman"/>
          <w:sz w:val="24"/>
          <w:szCs w:val="24"/>
          <w:lang w:val="es-ES" w:eastAsia="es-ES"/>
        </w:rPr>
        <w:t xml:space="preserve"> para resolver el expediente número </w:t>
      </w:r>
      <w:r w:rsidRPr="00063889">
        <w:rPr>
          <w:rFonts w:ascii="Century" w:eastAsia="Calibri" w:hAnsi="Century" w:cs="Times New Roman"/>
          <w:b/>
          <w:sz w:val="24"/>
          <w:szCs w:val="24"/>
          <w:lang w:val="es-ES" w:eastAsia="es-ES"/>
        </w:rPr>
        <w:t>0638/2015-JN</w:t>
      </w:r>
      <w:r w:rsidRPr="00063889">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proofErr w:type="gramStart"/>
      <w:r w:rsidR="00B10857">
        <w:rPr>
          <w:rFonts w:ascii="Century" w:eastAsia="Calibri" w:hAnsi="Century" w:cs="Times New Roman"/>
          <w:b/>
          <w:sz w:val="24"/>
          <w:szCs w:val="24"/>
          <w:lang w:val="es-ES" w:eastAsia="es-ES"/>
        </w:rPr>
        <w:t>(....</w:t>
      </w:r>
      <w:proofErr w:type="gramEnd"/>
      <w:r w:rsidR="00B10857">
        <w:rPr>
          <w:rFonts w:ascii="Century" w:eastAsia="Calibri" w:hAnsi="Century" w:cs="Times New Roman"/>
          <w:b/>
          <w:sz w:val="24"/>
          <w:szCs w:val="24"/>
          <w:lang w:val="es-ES" w:eastAsia="es-ES"/>
        </w:rPr>
        <w:t>.)</w:t>
      </w:r>
      <w:r w:rsidRPr="00063889">
        <w:rPr>
          <w:rFonts w:ascii="Century" w:eastAsia="Calibri" w:hAnsi="Century" w:cs="Times New Roman"/>
          <w:b/>
          <w:sz w:val="24"/>
          <w:szCs w:val="24"/>
          <w:lang w:val="es-ES" w:eastAsia="es-ES"/>
        </w:rPr>
        <w:t>;</w:t>
      </w:r>
      <w:r w:rsidRPr="00063889">
        <w:rPr>
          <w:rFonts w:ascii="Century" w:eastAsia="Calibri" w:hAnsi="Century" w:cs="Times New Roman"/>
          <w:sz w:val="24"/>
          <w:szCs w:val="24"/>
          <w:lang w:val="es-ES" w:eastAsia="es-ES"/>
        </w:rPr>
        <w:t xml:space="preserve"> y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center"/>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center"/>
        <w:rPr>
          <w:rFonts w:ascii="Century" w:eastAsia="Calibri" w:hAnsi="Century" w:cs="Calibri"/>
          <w:b/>
          <w:bCs/>
          <w:iCs/>
          <w:sz w:val="24"/>
          <w:szCs w:val="24"/>
          <w:lang w:val="es-ES" w:eastAsia="es-ES"/>
        </w:rPr>
      </w:pPr>
      <w:r w:rsidRPr="00063889">
        <w:rPr>
          <w:rFonts w:ascii="Century" w:eastAsia="Calibri" w:hAnsi="Century" w:cs="Calibri"/>
          <w:b/>
          <w:bCs/>
          <w:iCs/>
          <w:sz w:val="24"/>
          <w:szCs w:val="24"/>
          <w:lang w:val="es-ES" w:eastAsia="es-ES"/>
        </w:rPr>
        <w:t xml:space="preserve">C O N S I D E R A N D </w:t>
      </w:r>
      <w:proofErr w:type="gramStart"/>
      <w:r w:rsidRPr="00063889">
        <w:rPr>
          <w:rFonts w:ascii="Century" w:eastAsia="Calibri" w:hAnsi="Century" w:cs="Calibri"/>
          <w:b/>
          <w:bCs/>
          <w:iCs/>
          <w:sz w:val="24"/>
          <w:szCs w:val="24"/>
          <w:lang w:val="es-ES" w:eastAsia="es-ES"/>
        </w:rPr>
        <w:t>O :</w:t>
      </w:r>
      <w:proofErr w:type="gramEnd"/>
    </w:p>
    <w:p w:rsidR="00063889" w:rsidRPr="00063889" w:rsidRDefault="00063889" w:rsidP="00063889">
      <w:pPr>
        <w:spacing w:after="0" w:line="360" w:lineRule="auto"/>
        <w:ind w:firstLine="709"/>
        <w:jc w:val="both"/>
        <w:rPr>
          <w:rFonts w:ascii="Century" w:eastAsia="Calibri" w:hAnsi="Century" w:cs="Calibri"/>
          <w:b/>
          <w:bCs/>
          <w:iCs/>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b/>
          <w:bCs/>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Times New Roman"/>
          <w:b/>
          <w:sz w:val="24"/>
          <w:szCs w:val="24"/>
          <w:lang w:eastAsia="es-ES"/>
        </w:rPr>
        <w:t xml:space="preserve">SEGUNDO. </w:t>
      </w:r>
      <w:r w:rsidRPr="00063889">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Pr="00063889">
        <w:rPr>
          <w:rFonts w:ascii="Century" w:eastAsia="Calibri" w:hAnsi="Century" w:cs="Times New Roman"/>
          <w:sz w:val="24"/>
          <w:szCs w:val="24"/>
          <w:lang w:val="es-ES" w:eastAsia="es-ES"/>
        </w:rPr>
        <w:t xml:space="preserve"> </w:t>
      </w:r>
      <w:r w:rsidRPr="00063889">
        <w:rPr>
          <w:rFonts w:ascii="Century" w:eastAsia="Calibri" w:hAnsi="Century" w:cs="Times New Roman"/>
          <w:sz w:val="24"/>
          <w:szCs w:val="24"/>
          <w:lang w:eastAsia="es-ES"/>
        </w:rPr>
        <w:t>l</w:t>
      </w:r>
      <w:r w:rsidRPr="00063889">
        <w:rPr>
          <w:rFonts w:ascii="Century" w:eastAsia="Calibri" w:hAnsi="Century" w:cs="Times New Roman"/>
          <w:sz w:val="24"/>
          <w:szCs w:val="24"/>
          <w:lang w:val="es-ES" w:eastAsia="es-ES"/>
        </w:rPr>
        <w:t xml:space="preserve">os actos </w:t>
      </w:r>
      <w:r w:rsidRPr="00063889">
        <w:rPr>
          <w:rFonts w:ascii="Century" w:eastAsia="Calibri" w:hAnsi="Century" w:cs="Times New Roman"/>
          <w:sz w:val="24"/>
          <w:szCs w:val="24"/>
          <w:lang w:eastAsia="es-ES"/>
        </w:rPr>
        <w:t>impugnad</w:t>
      </w:r>
      <w:r w:rsidRPr="00063889">
        <w:rPr>
          <w:rFonts w:ascii="Century" w:eastAsia="Calibri" w:hAnsi="Century" w:cs="Times New Roman"/>
          <w:sz w:val="24"/>
          <w:szCs w:val="24"/>
          <w:lang w:val="es-ES" w:eastAsia="es-ES"/>
        </w:rPr>
        <w:t>os</w:t>
      </w:r>
      <w:r w:rsidRPr="00063889">
        <w:rPr>
          <w:rFonts w:ascii="Century" w:eastAsia="Calibri" w:hAnsi="Century" w:cs="Times New Roman"/>
          <w:sz w:val="24"/>
          <w:szCs w:val="24"/>
          <w:lang w:eastAsia="es-ES"/>
        </w:rPr>
        <w:t>, unos lo conoció e</w:t>
      </w:r>
      <w:r w:rsidRPr="00063889">
        <w:rPr>
          <w:rFonts w:ascii="Century" w:eastAsia="Calibri" w:hAnsi="Century" w:cs="Times New Roman"/>
          <w:sz w:val="24"/>
          <w:szCs w:val="24"/>
          <w:lang w:val="es-ES" w:eastAsia="es-ES"/>
        </w:rPr>
        <w:t xml:space="preserve">l </w:t>
      </w:r>
      <w:r w:rsidRPr="00063889">
        <w:rPr>
          <w:rFonts w:ascii="Century" w:eastAsia="Calibri" w:hAnsi="Century" w:cs="Times New Roman"/>
          <w:sz w:val="24"/>
          <w:szCs w:val="24"/>
          <w:lang w:eastAsia="es-ES"/>
        </w:rPr>
        <w:t xml:space="preserve">día </w:t>
      </w:r>
      <w:r w:rsidRPr="00063889">
        <w:rPr>
          <w:rFonts w:ascii="Century" w:eastAsia="Calibri" w:hAnsi="Century" w:cs="Times New Roman"/>
          <w:sz w:val="24"/>
          <w:szCs w:val="24"/>
          <w:lang w:val="es-ES" w:eastAsia="es-ES"/>
        </w:rPr>
        <w:t>08 ocho y otros el día 30 treinta, ambos días del mes de julio del año 2015 dos mil quince y la demanda fue presentada el 11 once de agosto del mismo año</w:t>
      </w:r>
      <w:r w:rsidRPr="00063889">
        <w:rPr>
          <w:rFonts w:ascii="Century" w:eastAsia="Calibri" w:hAnsi="Century" w:cs="Times New Roman"/>
          <w:sz w:val="24"/>
          <w:szCs w:val="24"/>
          <w:lang w:eastAsia="es-ES"/>
        </w:rPr>
        <w:t>.</w:t>
      </w:r>
      <w:r w:rsidRPr="00063889">
        <w:rPr>
          <w:rFonts w:ascii="Century" w:eastAsia="Calibri" w:hAnsi="Century" w:cs="Times New Roman"/>
          <w:sz w:val="24"/>
          <w:szCs w:val="24"/>
          <w:lang w:val="es-ES" w:eastAsia="es-ES"/>
        </w:rPr>
        <w:t xml:space="preserve"> ----------------------------------------------------------</w:t>
      </w:r>
    </w:p>
    <w:p w:rsidR="00063889" w:rsidRPr="00063889" w:rsidRDefault="00063889" w:rsidP="00063889">
      <w:pPr>
        <w:spacing w:after="0" w:line="360" w:lineRule="auto"/>
        <w:ind w:firstLine="709"/>
        <w:jc w:val="both"/>
        <w:rPr>
          <w:rFonts w:ascii="Century" w:eastAsia="Calibri" w:hAnsi="Century" w:cs="Calibri"/>
          <w:b/>
          <w:bCs/>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b/>
          <w:sz w:val="24"/>
          <w:szCs w:val="24"/>
          <w:lang w:val="es-ES" w:eastAsia="es-ES"/>
        </w:rPr>
        <w:t>TERCERO.</w:t>
      </w:r>
      <w:r w:rsidRPr="00063889">
        <w:rPr>
          <w:rFonts w:ascii="Century" w:eastAsia="Calibri" w:hAnsi="Century" w:cs="Times New Roman"/>
          <w:sz w:val="24"/>
          <w:szCs w:val="24"/>
          <w:lang w:val="es-ES" w:eastAsia="es-ES"/>
        </w:rPr>
        <w:t xml:space="preserve"> La existencia del acto impugnado, se encuentra documentada en autos con copia al carbón del requerimiento de pago, correspondiente a la cuenta predial 02AA27428001 (cero dos 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su acta de notificación realizada en fecha 08 ocho de julio de 2015, el mandamiento de ejecución y acta de embargo de fecha 30 de julio del año 2015 dos mil quince; así como también con el requerimiento de pago relativo a la cuenta predial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su notificación de fecha 08 ocho de julio de 2015, mandamiento de ejecución y acta de embargo de fecha 30 de julio de 2015 dos mil quince; documentos anteriores que merecen valor probatorio pleno; toda vez que se trata de documentos públicos expedidos por </w:t>
      </w:r>
      <w:r w:rsidRPr="00063889">
        <w:rPr>
          <w:rFonts w:ascii="Century" w:eastAsia="Calibri" w:hAnsi="Century" w:cs="Times New Roman"/>
          <w:sz w:val="24"/>
          <w:szCs w:val="24"/>
          <w:lang w:val="es-ES" w:eastAsia="es-ES"/>
        </w:rPr>
        <w:lastRenderedPageBreak/>
        <w:t>un servidor público en ejercicio de sus funciones, lo anterior, de conformidad a lo señalado por los artículos 78, 117, 121 y 131 del Código de Procedimiento y Justicia Administrativa para el Estado y los Municipios de Guanajuato.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sz w:val="24"/>
          <w:szCs w:val="24"/>
          <w:lang w:val="es-ES" w:eastAsia="es-ES"/>
        </w:rPr>
        <w:t>Por otro lado, respecto al acto atribuido al Fideicomiso de Obras por Cooperación, este no se acredita, conforme a las posteriores consideraciones.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b/>
          <w:bCs/>
          <w:iCs/>
          <w:sz w:val="24"/>
          <w:szCs w:val="24"/>
          <w:lang w:val="es-ES" w:eastAsia="es-ES"/>
        </w:rPr>
      </w:pPr>
      <w:r w:rsidRPr="00063889">
        <w:rPr>
          <w:rFonts w:ascii="Century" w:eastAsia="Calibri" w:hAnsi="Century" w:cs="Times New Roman"/>
          <w:sz w:val="24"/>
          <w:szCs w:val="24"/>
          <w:lang w:val="es-ES" w:eastAsia="es-ES"/>
        </w:rPr>
        <w:t xml:space="preserve"> En razón de lo anterior, se tiene por </w:t>
      </w:r>
      <w:r w:rsidRPr="00063889">
        <w:rPr>
          <w:rFonts w:ascii="Century" w:eastAsia="Calibri" w:hAnsi="Century" w:cs="Times New Roman"/>
          <w:b/>
          <w:sz w:val="24"/>
          <w:szCs w:val="24"/>
          <w:lang w:val="es-ES" w:eastAsia="es-ES"/>
        </w:rPr>
        <w:t>debidamente acreditada</w:t>
      </w:r>
      <w:r w:rsidRPr="00063889">
        <w:rPr>
          <w:rFonts w:ascii="Century" w:eastAsia="Calibri" w:hAnsi="Century" w:cs="Times New Roman"/>
          <w:sz w:val="24"/>
          <w:szCs w:val="24"/>
          <w:lang w:val="es-ES" w:eastAsia="es-ES"/>
        </w:rPr>
        <w:t xml:space="preserve"> la existencia de los actos impugnados y atribuidos al Director de Ejecución. ------</w:t>
      </w:r>
    </w:p>
    <w:p w:rsidR="00063889" w:rsidRPr="00063889" w:rsidRDefault="00063889" w:rsidP="00063889">
      <w:pPr>
        <w:spacing w:after="0" w:line="360" w:lineRule="auto"/>
        <w:ind w:firstLine="709"/>
        <w:jc w:val="both"/>
        <w:rPr>
          <w:rFonts w:ascii="Century" w:eastAsia="Calibri" w:hAnsi="Century" w:cs="Calibri"/>
          <w:b/>
          <w:bCs/>
          <w:iCs/>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b/>
          <w:bCs/>
          <w:iCs/>
          <w:sz w:val="24"/>
          <w:szCs w:val="24"/>
          <w:lang w:val="es-ES" w:eastAsia="es-ES"/>
        </w:rPr>
      </w:pPr>
      <w:r w:rsidRPr="00063889">
        <w:rPr>
          <w:rFonts w:ascii="Century" w:eastAsia="Calibri" w:hAnsi="Century" w:cs="Calibri"/>
          <w:b/>
          <w:bCs/>
          <w:iCs/>
          <w:sz w:val="24"/>
          <w:szCs w:val="24"/>
          <w:lang w:val="es-ES" w:eastAsia="es-ES"/>
        </w:rPr>
        <w:t xml:space="preserve">CUARTO. </w:t>
      </w:r>
      <w:r w:rsidRPr="00063889">
        <w:rPr>
          <w:rFonts w:ascii="Century" w:eastAsia="Calibri" w:hAnsi="Century" w:cs="Calibri"/>
          <w:bCs/>
          <w:iCs/>
          <w:sz w:val="24"/>
          <w:szCs w:val="24"/>
          <w:lang w:val="es-ES" w:eastAsia="es-E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63889">
        <w:rPr>
          <w:rFonts w:ascii="Century" w:eastAsia="Calibri" w:hAnsi="Century" w:cs="Calibri"/>
          <w:sz w:val="24"/>
          <w:szCs w:val="24"/>
          <w:lang w:val="es-ES" w:eastAsia="es-ES"/>
        </w:rPr>
        <w:t>. ----------------</w:t>
      </w:r>
      <w:r w:rsidRPr="00063889">
        <w:rPr>
          <w:rFonts w:ascii="Century" w:eastAsia="Calibri" w:hAnsi="Century" w:cs="Calibri"/>
          <w:b/>
          <w:bCs/>
          <w:iCs/>
          <w:sz w:val="24"/>
          <w:szCs w:val="24"/>
          <w:lang w:val="es-ES" w:eastAsia="es-ES"/>
        </w:rPr>
        <w:t>---------------------------------------------------------</w:t>
      </w:r>
    </w:p>
    <w:p w:rsidR="00063889" w:rsidRPr="00063889" w:rsidRDefault="00063889" w:rsidP="00063889">
      <w:pPr>
        <w:spacing w:after="0" w:line="360" w:lineRule="auto"/>
        <w:ind w:firstLine="709"/>
        <w:jc w:val="both"/>
        <w:rPr>
          <w:rFonts w:ascii="Century" w:eastAsia="Calibri" w:hAnsi="Century" w:cs="Calibri"/>
          <w:b/>
          <w:bCs/>
          <w:iCs/>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En tal contexto, se aprecia que la autoridad demandada, Directora del Fideicomiso de Obras por Cooperación, señala que se actualiza las causales de improcedencia previstas en las fracciones I y VI del artículo 261 del Código de Procedimiento y Justicia Administrativa para el Estado y los Municipios de Guanajuato, las cuales disponen: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240" w:lineRule="auto"/>
        <w:ind w:firstLine="709"/>
        <w:jc w:val="both"/>
        <w:rPr>
          <w:rFonts w:ascii="Century" w:eastAsia="Calibri" w:hAnsi="Century" w:cs="Times New Roman"/>
          <w:bCs/>
          <w:i/>
          <w:iCs/>
          <w:sz w:val="24"/>
          <w:szCs w:val="24"/>
          <w:lang w:val="es-ES" w:eastAsia="es-ES"/>
        </w:rPr>
      </w:pPr>
      <w:r w:rsidRPr="00063889">
        <w:rPr>
          <w:rFonts w:ascii="Century" w:eastAsia="Calibri" w:hAnsi="Century" w:cs="Times New Roman"/>
          <w:b/>
          <w:bCs/>
          <w:i/>
          <w:iCs/>
          <w:sz w:val="24"/>
          <w:szCs w:val="24"/>
          <w:lang w:val="es-ES" w:eastAsia="es-ES"/>
        </w:rPr>
        <w:t>Artículo 261.</w:t>
      </w:r>
      <w:r w:rsidRPr="00063889">
        <w:rPr>
          <w:rFonts w:ascii="Century" w:eastAsia="Calibri" w:hAnsi="Century" w:cs="Times New Roman"/>
          <w:bCs/>
          <w:i/>
          <w:iCs/>
          <w:sz w:val="24"/>
          <w:szCs w:val="24"/>
          <w:lang w:val="es-ES" w:eastAsia="es-ES"/>
        </w:rPr>
        <w:t xml:space="preserve"> El proceso administrativo es improcedente contra actos o resoluciones:</w:t>
      </w:r>
    </w:p>
    <w:p w:rsidR="00063889" w:rsidRPr="00063889" w:rsidRDefault="00063889" w:rsidP="00063889">
      <w:pPr>
        <w:spacing w:after="0" w:line="240" w:lineRule="auto"/>
        <w:ind w:firstLine="709"/>
        <w:jc w:val="both"/>
        <w:rPr>
          <w:rFonts w:ascii="Century" w:eastAsia="Calibri" w:hAnsi="Century" w:cs="Times New Roman"/>
          <w:bCs/>
          <w:i/>
          <w:iCs/>
          <w:sz w:val="24"/>
          <w:szCs w:val="24"/>
          <w:lang w:val="es-ES" w:eastAsia="es-ES"/>
        </w:rPr>
      </w:pPr>
    </w:p>
    <w:p w:rsidR="00063889" w:rsidRPr="00063889" w:rsidRDefault="00063889" w:rsidP="00063889">
      <w:pPr>
        <w:numPr>
          <w:ilvl w:val="0"/>
          <w:numId w:val="1"/>
        </w:numPr>
        <w:spacing w:after="0" w:line="240" w:lineRule="auto"/>
        <w:jc w:val="both"/>
        <w:rPr>
          <w:rFonts w:ascii="Century" w:eastAsia="Calibri" w:hAnsi="Century" w:cs="Times New Roman"/>
          <w:bCs/>
          <w:i/>
          <w:iCs/>
          <w:sz w:val="24"/>
          <w:szCs w:val="24"/>
          <w:lang w:eastAsia="es-ES"/>
        </w:rPr>
      </w:pPr>
      <w:r w:rsidRPr="00063889">
        <w:rPr>
          <w:rFonts w:ascii="Century" w:eastAsia="Calibri" w:hAnsi="Century" w:cs="Times New Roman"/>
          <w:bCs/>
          <w:i/>
          <w:iCs/>
          <w:sz w:val="24"/>
          <w:szCs w:val="24"/>
          <w:lang w:val="es-ES" w:eastAsia="es-ES"/>
        </w:rPr>
        <w:t>Que no afecten los intereses jurídicos del actor;</w:t>
      </w:r>
    </w:p>
    <w:p w:rsidR="00063889" w:rsidRPr="00063889" w:rsidRDefault="00063889" w:rsidP="00063889">
      <w:pPr>
        <w:spacing w:after="0" w:line="240" w:lineRule="auto"/>
        <w:ind w:firstLine="709"/>
        <w:jc w:val="both"/>
        <w:rPr>
          <w:rFonts w:ascii="Century" w:eastAsia="Calibri" w:hAnsi="Century" w:cs="Times New Roman"/>
          <w:bCs/>
          <w:i/>
          <w:iCs/>
          <w:sz w:val="24"/>
          <w:szCs w:val="24"/>
          <w:lang w:eastAsia="es-ES"/>
        </w:rPr>
      </w:pPr>
      <w:r w:rsidRPr="00063889">
        <w:rPr>
          <w:rFonts w:ascii="Century" w:eastAsia="Calibri" w:hAnsi="Century" w:cs="Times New Roman"/>
          <w:bCs/>
          <w:i/>
          <w:iCs/>
          <w:sz w:val="24"/>
          <w:szCs w:val="24"/>
          <w:lang w:eastAsia="es-ES"/>
        </w:rPr>
        <w:t>….</w:t>
      </w:r>
    </w:p>
    <w:p w:rsidR="00063889" w:rsidRPr="00063889" w:rsidRDefault="00063889" w:rsidP="00063889">
      <w:pPr>
        <w:spacing w:after="0" w:line="240" w:lineRule="auto"/>
        <w:ind w:firstLine="709"/>
        <w:jc w:val="both"/>
        <w:rPr>
          <w:rFonts w:ascii="Century" w:eastAsia="Calibri" w:hAnsi="Century" w:cs="Times New Roman"/>
          <w:bCs/>
          <w:i/>
          <w:iCs/>
          <w:sz w:val="24"/>
          <w:szCs w:val="24"/>
          <w:lang w:eastAsia="es-ES"/>
        </w:rPr>
      </w:pPr>
      <w:r w:rsidRPr="00063889">
        <w:rPr>
          <w:rFonts w:ascii="Century" w:eastAsia="Calibri" w:hAnsi="Century" w:cs="Times New Roman"/>
          <w:bCs/>
          <w:i/>
          <w:iCs/>
          <w:sz w:val="24"/>
          <w:szCs w:val="24"/>
          <w:lang w:val="es-ES" w:eastAsia="es-ES"/>
        </w:rPr>
        <w:t>VI. Que sean inexistentes, derivada claramente esta circunstancia de las constancias de autos; y</w:t>
      </w:r>
    </w:p>
    <w:p w:rsidR="00063889" w:rsidRPr="00063889" w:rsidRDefault="00063889" w:rsidP="00063889">
      <w:pPr>
        <w:spacing w:after="0" w:line="360" w:lineRule="auto"/>
        <w:ind w:firstLine="709"/>
        <w:jc w:val="both"/>
        <w:rPr>
          <w:rFonts w:ascii="Verdana" w:eastAsia="Calibri" w:hAnsi="Verdana" w:cs="Arial"/>
          <w:bCs/>
          <w:sz w:val="20"/>
          <w:szCs w:val="20"/>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Lo anterior, al considerar que los actos reclamados son procedentes de una contribución especial por ejecución de obra pública y se ejecutaron con </w:t>
      </w:r>
      <w:r w:rsidRPr="00063889">
        <w:rPr>
          <w:rFonts w:ascii="Century" w:eastAsia="Calibri" w:hAnsi="Century" w:cs="Times New Roman"/>
          <w:sz w:val="24"/>
          <w:szCs w:val="24"/>
          <w:lang w:val="es-ES" w:eastAsia="es-ES"/>
        </w:rPr>
        <w:lastRenderedPageBreak/>
        <w:t>absoluta legalidad y que, por lo tanto, no existe un acto susceptible de impugnar.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Sobre dichas causales, quien resuelve considera que se actualiza la señalada en la fracción VI </w:t>
      </w:r>
      <w:proofErr w:type="gramStart"/>
      <w:r w:rsidRPr="00063889">
        <w:rPr>
          <w:rFonts w:ascii="Century" w:eastAsia="Calibri" w:hAnsi="Century" w:cs="Times New Roman"/>
          <w:sz w:val="24"/>
          <w:szCs w:val="24"/>
          <w:lang w:val="es-ES" w:eastAsia="es-ES"/>
        </w:rPr>
        <w:t>del  artículo</w:t>
      </w:r>
      <w:proofErr w:type="gramEnd"/>
      <w:r w:rsidRPr="00063889">
        <w:rPr>
          <w:rFonts w:ascii="Century" w:eastAsia="Calibri" w:hAnsi="Century" w:cs="Times New Roman"/>
          <w:sz w:val="24"/>
          <w:szCs w:val="24"/>
          <w:lang w:val="es-ES" w:eastAsia="es-ES"/>
        </w:rPr>
        <w:t xml:space="preserve"> 261 del referido Código de Procedimiento y Justicia Administrativa, lo anterior, no por las razones que expone la autoridad, sino considerando que en autos no obran, ni se desprende que el Fideicomiso de Obras por Cooperación, haya emitido acto administrativo alguno en contra del justiciable.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En efecto, el actor adjunta a su escrito de demanda un impresión del estado de cuenta con los siguientes datos: Obra 9133873845 (nueve uno tres </w:t>
      </w:r>
      <w:proofErr w:type="spellStart"/>
      <w:r w:rsidRPr="00063889">
        <w:rPr>
          <w:rFonts w:ascii="Century" w:eastAsia="Calibri" w:hAnsi="Century" w:cs="Times New Roman"/>
          <w:sz w:val="24"/>
          <w:szCs w:val="24"/>
          <w:lang w:val="es-ES" w:eastAsia="es-ES"/>
        </w:rPr>
        <w:t>tres</w:t>
      </w:r>
      <w:proofErr w:type="spellEnd"/>
      <w:r w:rsidRPr="00063889">
        <w:rPr>
          <w:rFonts w:ascii="Century" w:eastAsia="Calibri" w:hAnsi="Century" w:cs="Times New Roman"/>
          <w:sz w:val="24"/>
          <w:szCs w:val="24"/>
          <w:lang w:val="es-ES" w:eastAsia="es-ES"/>
        </w:rPr>
        <w:t xml:space="preserve"> ocho siete tres ocho cuatro cinco); cooperador 114 (ciento catorce); Nombre: </w:t>
      </w:r>
      <w:proofErr w:type="gramStart"/>
      <w:r w:rsidR="00B10857">
        <w:rPr>
          <w:rFonts w:ascii="Century" w:eastAsia="Calibri" w:hAnsi="Century" w:cs="Times New Roman"/>
          <w:sz w:val="24"/>
          <w:szCs w:val="24"/>
          <w:lang w:val="es-ES" w:eastAsia="es-ES"/>
        </w:rPr>
        <w:t>(....</w:t>
      </w:r>
      <w:proofErr w:type="gramEnd"/>
      <w:r w:rsidR="00B10857">
        <w:rPr>
          <w:rFonts w:ascii="Century" w:eastAsia="Calibri" w:hAnsi="Century" w:cs="Times New Roman"/>
          <w:sz w:val="24"/>
          <w:szCs w:val="24"/>
          <w:lang w:val="es-ES" w:eastAsia="es-ES"/>
        </w:rPr>
        <w:t>.)</w:t>
      </w:r>
      <w:r w:rsidRPr="00063889">
        <w:rPr>
          <w:rFonts w:ascii="Century" w:eastAsia="Calibri" w:hAnsi="Century" w:cs="Times New Roman"/>
          <w:sz w:val="24"/>
          <w:szCs w:val="24"/>
          <w:lang w:val="es-ES" w:eastAsia="es-ES"/>
        </w:rPr>
        <w:t xml:space="preserve"> CD; colonia </w:t>
      </w:r>
      <w:r w:rsidRPr="007539E7">
        <w:rPr>
          <w:rFonts w:ascii="Century" w:eastAsia="Calibri" w:hAnsi="Century" w:cs="Times New Roman"/>
          <w:sz w:val="24"/>
          <w:szCs w:val="24"/>
          <w:lang w:val="es-ES" w:eastAsia="es-ES"/>
        </w:rPr>
        <w:t>San Manuel;</w:t>
      </w:r>
      <w:r w:rsidRPr="00063889">
        <w:rPr>
          <w:rFonts w:ascii="Century" w:eastAsia="Calibri" w:hAnsi="Century" w:cs="Times New Roman"/>
          <w:sz w:val="24"/>
          <w:szCs w:val="24"/>
          <w:lang w:val="es-ES" w:eastAsia="es-ES"/>
        </w:rPr>
        <w:t xml:space="preserve"> Ubicación San Sergio; respecto de dicha impresión, misma que una vez revisada, es de destacar que tiene las características y condiciones un estado de cuenta, por lo tanto, no puede considerarse un acto administrativo, ya que del mismo no se desprende, nombre de la autoridad emisora, fundamento de sus atribuciones para emitirlo, así como tampoco la petición de pago aparejada a una consecuencia en el supuesto de un no hacer por parte del obligado.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Por ende, no se cumple con lo descrito en el artículo 136 del Código de Procedimiento y Justicia Administrativa aplicable, que a la letra dice: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 </w:t>
      </w:r>
    </w:p>
    <w:p w:rsidR="00063889" w:rsidRPr="00063889" w:rsidRDefault="00063889" w:rsidP="00063889">
      <w:pPr>
        <w:spacing w:after="0" w:line="240" w:lineRule="auto"/>
        <w:ind w:firstLine="709"/>
        <w:jc w:val="both"/>
        <w:rPr>
          <w:rFonts w:ascii="Century" w:eastAsia="Calibri" w:hAnsi="Century" w:cs="Times New Roman"/>
          <w:bCs/>
          <w:i/>
          <w:iCs/>
          <w:sz w:val="24"/>
          <w:szCs w:val="24"/>
          <w:lang w:val="es-ES" w:eastAsia="es-ES"/>
        </w:rPr>
      </w:pPr>
      <w:r w:rsidRPr="00063889">
        <w:rPr>
          <w:rFonts w:ascii="Century" w:eastAsia="Calibri" w:hAnsi="Century" w:cs="Times New Roman"/>
          <w:bCs/>
          <w:i/>
          <w:iCs/>
          <w:sz w:val="24"/>
          <w:szCs w:val="24"/>
          <w:lang w:val="es-ES" w:eastAsia="es-ES"/>
        </w:rPr>
        <w:t xml:space="preserve">ARTÍCULO 136.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No pasa desapercibido para quien resuelve que además la autoridad demandada adjuntó a su escrito de contestación a la demanda una serie de </w:t>
      </w:r>
      <w:r w:rsidRPr="00063889">
        <w:rPr>
          <w:rFonts w:ascii="Century" w:eastAsia="Calibri" w:hAnsi="Century" w:cs="Times New Roman"/>
          <w:sz w:val="24"/>
          <w:szCs w:val="24"/>
          <w:lang w:val="es-ES" w:eastAsia="es-ES"/>
        </w:rPr>
        <w:lastRenderedPageBreak/>
        <w:t>documentos relativos al procedimiento para llevar a cabo la pavimentación de la calle San Sergio, tramo boulevard Vicente Valtierra – San Eduardo, sin embargo, de ninguno de los documentos adjuntados, se desprende alguno dirigido a la parte actora en el presente juicio.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Por lo tanto, es de concluirse que en este caso no se encuentra demostrada la existencia de un acto administrativo en términos del artículo 136 del Código de Procedimiento y Justicia Administrativa para el Estado y los Municipios de Guanajuato, emitido por el Fideicomiso de Obras por Cooperación, a nombre del justiciable, lo anterior resulta así puesto que, como se ya se explicó, el estado de cuenta que exhibe el actor en su escrito de demanda, no reúne las características y mucho menos tiene la naturaleza de un acto administrativo, aunado a lo anterior, es de considerarse que la determinación y liquidación de créditos fiscales, es una facultad discrecional de las autoridades, es decir, facultades otorgadas para ejercerlas u obrar según lo crea oportuno o su prudente juicio, buscando la mejor satisfacción de las necesidades colectivas.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En consecuencia, respecto al Fideicomiso de Obras por Cooperación, se determina que se actualiza la causa de improcedencia prevista en el artículo 261, fracción VI del Código de Procedimiento y Justicia Administrativa para el Estado y los Municipios de Guanajuato, consistente en la inexistencia del acto administrativo, al desprenderse así de las constancias que obran en autos que nos llevaron a esgrimir las anteriores consideraciones.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Por otro lado, el Director de Ejecución, hace valer las mismas causales de improcedencia, es decir, las señaladas por las fracciones I y VI del artículo 261 del Código de Procedimiento y Justicia Administrativa para el Estado y los Municipios de Guanajuato, al manifestar que los actos impugnados se ejecutaron con absoluta legalidad.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lastRenderedPageBreak/>
        <w:t xml:space="preserve">Causales de improcedencia que NO SE ACTUALIZAN, respecto a la señalada en la fracción VI del referido artículo 261 del Código de Procedimiento y Justicia Administrativa, misma que dispone que el juicio es improcedente cuando los actos sean inexistentes, derivada claramente esta circunstancia de las constancias de autos, toda vez que en el sumario quedó acreditado la existencia de diversos actos atribuidos al Director de Ejecución como son: el requerimientos de pago, correspondiente a la cuenta predial 02AA27428001 (cero dos 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su acta de notificación realizada en fecha 08 ocho de julio de 2015 dos mil quince, así como su mandamiento de ejecución y acta de embargo de fecha 30 de julio del año 2015 dos mil quince; así como también con el requerimiento de pago relativo a la cuenta predial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su notificación de fecha 08 ocho de julio de 2015 dos mil quince, mandamiento de ejecución y acta de embargo de fecha 30 de julio de 2015 dos mil quince, por otro lado, no se actualiza la causal de improcedencia prevista en la fracción I del multicitado artículo 261, ya que dichos actos administrativos al ir dirigidos al justiciable, le otorgan interés jurídico para intentar el presente juicio de nulidad.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 autoridad demandada.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Arial Narrow" w:eastAsia="Calibri" w:hAnsi="Arial Narrow" w:cs="Times New Roman"/>
          <w:color w:val="404040"/>
          <w:sz w:val="27"/>
          <w:szCs w:val="27"/>
          <w:lang w:val="es-ES" w:eastAsia="es-ES"/>
        </w:rPr>
      </w:pPr>
      <w:r w:rsidRPr="00063889">
        <w:rPr>
          <w:rFonts w:ascii="Century" w:eastAsia="Calibri" w:hAnsi="Century" w:cs="Times New Roman"/>
          <w:sz w:val="24"/>
          <w:szCs w:val="24"/>
          <w:lang w:val="es-ES" w:eastAsia="es-ES"/>
        </w:rPr>
        <w:t xml:space="preserve">La autoridades demandadas oponen la excepción </w:t>
      </w:r>
      <w:r w:rsidRPr="00063889">
        <w:rPr>
          <w:rFonts w:ascii="Century" w:eastAsia="Calibri" w:hAnsi="Century" w:cs="Times New Roman"/>
          <w:i/>
          <w:sz w:val="24"/>
          <w:szCs w:val="24"/>
          <w:lang w:val="es-ES" w:eastAsia="es-ES"/>
        </w:rPr>
        <w:t xml:space="preserve">“derivada de los artículos 136, 137 y 138 del Código de Procedimiento y Justicia Administrativa para el Estado y los Municipios de Guanajuato, toda vez, que el acto que la parte actora pretende impugnar reúne todos y cada uno de los requisitos de los </w:t>
      </w:r>
      <w:r w:rsidRPr="00063889">
        <w:rPr>
          <w:rFonts w:ascii="Century" w:eastAsia="Calibri" w:hAnsi="Century" w:cs="Times New Roman"/>
          <w:i/>
          <w:sz w:val="24"/>
          <w:szCs w:val="24"/>
          <w:lang w:val="es-ES" w:eastAsia="es-ES"/>
        </w:rPr>
        <w:lastRenderedPageBreak/>
        <w:t>numerales en cita …”</w:t>
      </w:r>
      <w:r w:rsidRPr="00063889">
        <w:rPr>
          <w:rFonts w:ascii="Century" w:eastAsia="Calibri" w:hAnsi="Century" w:cs="Times New Roman"/>
          <w:sz w:val="24"/>
          <w:szCs w:val="24"/>
          <w:lang w:val="es-ES" w:eastAsia="es-ES"/>
        </w:rP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063889" w:rsidRPr="00063889" w:rsidRDefault="00063889" w:rsidP="00063889">
      <w:pPr>
        <w:spacing w:after="0" w:line="360" w:lineRule="auto"/>
        <w:ind w:firstLine="709"/>
        <w:jc w:val="both"/>
        <w:rPr>
          <w:rFonts w:ascii="Arial Narrow" w:eastAsia="Calibri" w:hAnsi="Arial Narrow" w:cs="Times New Roman"/>
          <w:color w:val="404040"/>
          <w:sz w:val="27"/>
          <w:szCs w:val="27"/>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La autoridad demanda también opone como excepción la </w:t>
      </w:r>
      <w:proofErr w:type="spellStart"/>
      <w:r w:rsidRPr="00063889">
        <w:rPr>
          <w:rFonts w:ascii="Century" w:eastAsia="Calibri" w:hAnsi="Century" w:cs="Times New Roman"/>
          <w:sz w:val="24"/>
          <w:szCs w:val="24"/>
          <w:lang w:val="es-ES" w:eastAsia="es-ES"/>
        </w:rPr>
        <w:t>Nom</w:t>
      </w:r>
      <w:proofErr w:type="spellEnd"/>
      <w:r w:rsidRPr="00063889">
        <w:rPr>
          <w:rFonts w:ascii="Century" w:eastAsia="Calibri" w:hAnsi="Century" w:cs="Times New Roman"/>
          <w:sz w:val="24"/>
          <w:szCs w:val="24"/>
          <w:lang w:val="es-ES" w:eastAsia="es-ES"/>
        </w:rPr>
        <w:t xml:space="preserve"> </w:t>
      </w:r>
      <w:proofErr w:type="spellStart"/>
      <w:r w:rsidRPr="00063889">
        <w:rPr>
          <w:rFonts w:ascii="Century" w:eastAsia="Calibri" w:hAnsi="Century" w:cs="Times New Roman"/>
          <w:sz w:val="24"/>
          <w:szCs w:val="24"/>
          <w:lang w:val="es-ES" w:eastAsia="es-ES"/>
        </w:rPr>
        <w:t>Mutati</w:t>
      </w:r>
      <w:proofErr w:type="spellEnd"/>
      <w:r w:rsidRPr="00063889">
        <w:rPr>
          <w:rFonts w:ascii="Century" w:eastAsia="Calibri" w:hAnsi="Century" w:cs="Times New Roman"/>
          <w:sz w:val="24"/>
          <w:szCs w:val="24"/>
          <w:lang w:val="es-ES" w:eastAsia="es-ES"/>
        </w:rPr>
        <w:t xml:space="preserve"> </w:t>
      </w:r>
      <w:proofErr w:type="spellStart"/>
      <w:r w:rsidRPr="00063889">
        <w:rPr>
          <w:rFonts w:ascii="Century" w:eastAsia="Calibri" w:hAnsi="Century" w:cs="Times New Roman"/>
          <w:sz w:val="24"/>
          <w:szCs w:val="24"/>
          <w:lang w:val="es-ES" w:eastAsia="es-ES"/>
        </w:rPr>
        <w:t>Libeli</w:t>
      </w:r>
      <w:proofErr w:type="spellEnd"/>
      <w:r w:rsidRPr="00063889">
        <w:rPr>
          <w:rFonts w:ascii="Century" w:eastAsia="Calibri" w:hAnsi="Century" w:cs="Times New Roman"/>
          <w:sz w:val="24"/>
          <w:szCs w:val="24"/>
          <w:lang w:val="es-ES" w:eastAsia="es-ES"/>
        </w:rP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063889" w:rsidRPr="00063889" w:rsidRDefault="00063889" w:rsidP="00063889">
      <w:pPr>
        <w:spacing w:after="0" w:line="360" w:lineRule="auto"/>
        <w:ind w:firstLine="709"/>
        <w:jc w:val="both"/>
        <w:rPr>
          <w:rFonts w:ascii="Arial Narrow" w:eastAsia="Calibri" w:hAnsi="Arial Narrow" w:cs="Times New Roman"/>
          <w:b/>
          <w:sz w:val="27"/>
          <w:szCs w:val="27"/>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De manera general también la demandada hace referencia a </w:t>
      </w:r>
      <w:r w:rsidRPr="00063889">
        <w:rPr>
          <w:rFonts w:ascii="Century" w:eastAsia="Calibri" w:hAnsi="Century" w:cs="Times New Roman"/>
          <w:i/>
          <w:sz w:val="24"/>
          <w:szCs w:val="24"/>
          <w:lang w:val="es-ES" w:eastAsia="es-ES"/>
        </w:rPr>
        <w:t>“la excepción de improcedencia, la que deriva de las fracciones I, IV y VI del artículo 261 del Código de Procedimiento y Justicia Administrativa”</w:t>
      </w:r>
      <w:r w:rsidRPr="00063889">
        <w:rPr>
          <w:rFonts w:ascii="Century" w:eastAsia="Calibri" w:hAnsi="Century" w:cs="Times New Roman"/>
          <w:sz w:val="24"/>
          <w:szCs w:val="24"/>
          <w:lang w:val="es-ES" w:eastAsia="es-ES"/>
        </w:rPr>
        <w:t xml:space="preserve">, la excepción de </w:t>
      </w:r>
      <w:r w:rsidRPr="00063889">
        <w:rPr>
          <w:rFonts w:ascii="Century" w:eastAsia="Calibri" w:hAnsi="Century" w:cs="Times New Roman"/>
          <w:i/>
          <w:sz w:val="24"/>
          <w:szCs w:val="24"/>
          <w:lang w:val="es-ES" w:eastAsia="es-ES"/>
        </w:rPr>
        <w:t>“NO AFECTACION DE INTERESES JURIDICOS”</w:t>
      </w:r>
      <w:r w:rsidRPr="00063889">
        <w:rPr>
          <w:rFonts w:ascii="Century" w:eastAsia="Calibri" w:hAnsi="Century" w:cs="Times New Roman"/>
          <w:sz w:val="24"/>
          <w:szCs w:val="24"/>
          <w:lang w:val="es-ES" w:eastAsia="es-ES"/>
        </w:rPr>
        <w:t xml:space="preserve">, y </w:t>
      </w:r>
      <w:r w:rsidRPr="00063889">
        <w:rPr>
          <w:rFonts w:ascii="Century" w:eastAsia="Calibri" w:hAnsi="Century" w:cs="Times New Roman"/>
          <w:i/>
          <w:sz w:val="24"/>
          <w:szCs w:val="24"/>
          <w:lang w:val="es-ES" w:eastAsia="es-ES"/>
        </w:rPr>
        <w:t>“todas las demás excepciones”</w:t>
      </w:r>
      <w:r w:rsidRPr="00063889">
        <w:rPr>
          <w:rFonts w:ascii="Century" w:eastAsia="Calibri" w:hAnsi="Century" w:cs="Times New Roman"/>
          <w:sz w:val="24"/>
          <w:szCs w:val="24"/>
          <w:lang w:val="es-ES" w:eastAsia="es-ES"/>
        </w:rPr>
        <w:t>, sin embargo, no hace razonamiento alguno del porque son aplicables dichas excepciones, por lo que, considerando que de manera manifiesta dichas causales no se actualizan, y que por otro lado, algunas de ellas ya fueron examinadas, se omitirá su estudio.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proofErr w:type="gramStart"/>
      <w:r w:rsidRPr="00063889">
        <w:rPr>
          <w:rFonts w:ascii="Century" w:eastAsia="Calibri" w:hAnsi="Century" w:cs="Times New Roman"/>
          <w:sz w:val="24"/>
          <w:szCs w:val="24"/>
          <w:lang w:val="es-ES" w:eastAsia="es-ES"/>
        </w:rPr>
        <w:t>Octubre</w:t>
      </w:r>
      <w:proofErr w:type="gramEnd"/>
      <w:r w:rsidRPr="00063889">
        <w:rPr>
          <w:rFonts w:ascii="Century" w:eastAsia="Calibri" w:hAnsi="Century" w:cs="Times New Roman"/>
          <w:sz w:val="24"/>
          <w:szCs w:val="24"/>
          <w:lang w:val="es-ES" w:eastAsia="es-ES"/>
        </w:rPr>
        <w:t xml:space="preserve"> de 2006, consultable en la página 365 bajo la voz: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lastRenderedPageBreak/>
        <w:t xml:space="preserve"> </w:t>
      </w:r>
    </w:p>
    <w:p w:rsidR="00063889" w:rsidRPr="00063889" w:rsidRDefault="00063889" w:rsidP="00063889">
      <w:pPr>
        <w:spacing w:after="0" w:line="240" w:lineRule="auto"/>
        <w:ind w:firstLine="709"/>
        <w:jc w:val="both"/>
        <w:rPr>
          <w:rFonts w:ascii="Century" w:eastAsia="Calibri" w:hAnsi="Century" w:cs="Times New Roman"/>
          <w:bCs/>
          <w:i/>
          <w:iCs/>
          <w:sz w:val="24"/>
          <w:szCs w:val="24"/>
          <w:lang w:val="es-ES" w:eastAsia="es-ES"/>
        </w:rPr>
      </w:pPr>
      <w:r w:rsidRPr="00063889">
        <w:rPr>
          <w:rFonts w:ascii="Century" w:eastAsia="Calibri" w:hAnsi="Century" w:cs="Times New Roman"/>
          <w:bCs/>
          <w:i/>
          <w:iCs/>
          <w:sz w:val="24"/>
          <w:szCs w:val="24"/>
          <w:lang w:val="es-ES" w:eastAsia="es-ES"/>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063889" w:rsidRPr="00063889" w:rsidRDefault="00063889" w:rsidP="00063889">
      <w:pPr>
        <w:spacing w:after="0" w:line="240" w:lineRule="auto"/>
        <w:ind w:firstLine="709"/>
        <w:jc w:val="both"/>
        <w:rPr>
          <w:rFonts w:ascii="Century" w:eastAsia="Calibri" w:hAnsi="Century" w:cs="Times New Roman"/>
          <w:bCs/>
          <w:i/>
          <w:iCs/>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Ante la improcedencia de las referidas excepciones y estimando que no se actualiza ninguna causal de improcedencia de las previstas en el citado artículo 261, se procede al estudio de los conceptos de impugnación. -------------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Times New Roman"/>
          <w:b/>
          <w:sz w:val="24"/>
          <w:szCs w:val="24"/>
          <w:lang w:val="es-ES" w:eastAsia="es-ES"/>
        </w:rPr>
        <w:t>QUINTO</w:t>
      </w:r>
      <w:r w:rsidRPr="00063889">
        <w:rPr>
          <w:rFonts w:ascii="Century" w:eastAsia="Calibri" w:hAnsi="Century" w:cs="Calibri"/>
          <w:b/>
          <w:bCs/>
          <w:iCs/>
          <w:sz w:val="24"/>
          <w:szCs w:val="24"/>
          <w:lang w:val="es-ES" w:eastAsia="es-ES"/>
        </w:rPr>
        <w:t>.</w:t>
      </w:r>
      <w:r w:rsidRPr="00063889">
        <w:rPr>
          <w:rFonts w:ascii="Century" w:eastAsia="Calibri" w:hAnsi="Century" w:cs="Times New Roman"/>
          <w:sz w:val="24"/>
          <w:szCs w:val="24"/>
          <w:lang w:val="es-ES" w:eastAsia="es-ES"/>
        </w:rPr>
        <w:t xml:space="preserve"> </w:t>
      </w:r>
      <w:r w:rsidRPr="00063889">
        <w:rPr>
          <w:rFonts w:ascii="Century" w:eastAsia="Calibri" w:hAnsi="Century" w:cs="Calibri"/>
          <w:bCs/>
          <w:iCs/>
          <w:sz w:val="24"/>
          <w:szCs w:val="24"/>
          <w:lang w:val="es-ES" w:eastAsia="es-ES"/>
        </w:rPr>
        <w:t>En</w:t>
      </w:r>
      <w:r w:rsidRPr="00063889">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063889">
        <w:rPr>
          <w:rFonts w:ascii="Century" w:eastAsia="Calibri" w:hAnsi="Century" w:cs="Calibri"/>
          <w:bCs/>
          <w:iCs/>
          <w:sz w:val="24"/>
          <w:szCs w:val="24"/>
          <w:lang w:val="es-ES" w:eastAsia="es-ES"/>
        </w:rPr>
        <w:t xml:space="preserve">este Juzgado </w:t>
      </w:r>
      <w:r w:rsidRPr="00063889">
        <w:rPr>
          <w:rFonts w:ascii="Century" w:eastAsia="Calibri" w:hAnsi="Century" w:cs="Calibri"/>
          <w:sz w:val="24"/>
          <w:szCs w:val="24"/>
          <w:lang w:val="es-ES" w:eastAsia="es-ES"/>
        </w:rPr>
        <w:t xml:space="preserve">procede a fijar clara y precisamente los puntos controvertidos en el presente proceso </w:t>
      </w:r>
      <w:proofErr w:type="gramStart"/>
      <w:r w:rsidRPr="00063889">
        <w:rPr>
          <w:rFonts w:ascii="Century" w:eastAsia="Calibri" w:hAnsi="Century" w:cs="Calibri"/>
          <w:sz w:val="24"/>
          <w:szCs w:val="24"/>
          <w:lang w:val="es-ES" w:eastAsia="es-ES"/>
        </w:rPr>
        <w:t>administrativo.-</w:t>
      </w:r>
      <w:proofErr w:type="gramEnd"/>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8"/>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De lo expuesto por el actor en su </w:t>
      </w:r>
      <w:r w:rsidRPr="00063889">
        <w:rPr>
          <w:rFonts w:ascii="Century" w:eastAsia="Calibri" w:hAnsi="Century" w:cs="Times New Roman"/>
          <w:bCs/>
          <w:iCs/>
          <w:sz w:val="24"/>
          <w:szCs w:val="24"/>
          <w:lang w:val="es-ES" w:eastAsia="es-ES"/>
        </w:rPr>
        <w:t>escrito</w:t>
      </w:r>
      <w:r w:rsidRPr="00063889">
        <w:rPr>
          <w:rFonts w:ascii="Century" w:eastAsia="Calibri" w:hAnsi="Century" w:cs="Times New Roman"/>
          <w:sz w:val="24"/>
          <w:szCs w:val="24"/>
          <w:lang w:val="es-ES" w:eastAsia="es-ES"/>
        </w:rPr>
        <w:t xml:space="preserve"> de demanda, así como de las constancias que integran la causa administrativa</w:t>
      </w:r>
      <w:r w:rsidRPr="00063889">
        <w:rPr>
          <w:rFonts w:ascii="Century" w:eastAsia="Calibri" w:hAnsi="Century" w:cs="Times New Roman"/>
          <w:bCs/>
          <w:iCs/>
          <w:sz w:val="24"/>
          <w:szCs w:val="24"/>
          <w:lang w:val="es-ES" w:eastAsia="es-ES"/>
        </w:rPr>
        <w:t xml:space="preserve"> que nos ocupa</w:t>
      </w:r>
      <w:r w:rsidRPr="00063889">
        <w:rPr>
          <w:rFonts w:ascii="Century" w:eastAsia="Calibri" w:hAnsi="Century" w:cs="Times New Roman"/>
          <w:sz w:val="24"/>
          <w:szCs w:val="24"/>
          <w:lang w:val="es-ES" w:eastAsia="es-ES"/>
        </w:rPr>
        <w:t xml:space="preserve">, se desprende que le fueron practicados a la parte actora un requerimiento de pago, correspondiente a la cuenta predial 02AA27428001 (cero dos Letra A Letra A </w:t>
      </w:r>
      <w:r w:rsidRPr="00063889">
        <w:rPr>
          <w:rFonts w:ascii="Century" w:eastAsia="Calibri" w:hAnsi="Century" w:cs="Times New Roman"/>
          <w:sz w:val="24"/>
          <w:szCs w:val="24"/>
          <w:lang w:val="es-ES" w:eastAsia="es-ES"/>
        </w:rPr>
        <w:lastRenderedPageBreak/>
        <w:t xml:space="preserve">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en fecha 08 ocho de julio de 2015 dos mil quince, así como mandamiento de ejecución y acta de embargo de fecha 30 de julio del año 2015 dos mil quince; de igual manera, también fue realizado requerimiento de pago relativo a la cuenta predial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notificación de fecha 08 ocho de julio de 2015 dos mil quince, mandamiento de ejecución y acta de embargo de fecha 30 de julio de 2015 dos mil quince; actos que el actor considera ilegales, en virtud de que el predio del cual se le requiere el impuesto predial, ya no es de su propiedad, en consecuencia ya no es sujeto pasivo de dicho impuesto.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8"/>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Así las cosas, la “</w:t>
      </w:r>
      <w:proofErr w:type="spellStart"/>
      <w:r w:rsidRPr="00063889">
        <w:rPr>
          <w:rFonts w:ascii="Century" w:eastAsia="Calibri" w:hAnsi="Century" w:cs="Times New Roman"/>
          <w:sz w:val="24"/>
          <w:szCs w:val="24"/>
          <w:lang w:val="es-ES" w:eastAsia="es-ES"/>
        </w:rPr>
        <w:t>litis</w:t>
      </w:r>
      <w:proofErr w:type="spellEnd"/>
      <w:r w:rsidRPr="00063889">
        <w:rPr>
          <w:rFonts w:ascii="Century" w:eastAsia="Calibri" w:hAnsi="Century" w:cs="Times New Roman"/>
          <w:sz w:val="24"/>
          <w:szCs w:val="24"/>
          <w:lang w:val="es-ES" w:eastAsia="es-ES"/>
        </w:rPr>
        <w:t xml:space="preserve">” planteada se hace consistir en determinar la legalidad o ilegalidad de los actos emitidos por el Director de Ejecución, como son los requerimientos de pago y mandamiento de ejecución y embargo, de los inmuebles con cuenta predial número 02AA27428001 (cero dos 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cuenta predial número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sidDel="00E95C0B">
        <w:rPr>
          <w:rFonts w:ascii="Century" w:eastAsia="Calibri" w:hAnsi="Century" w:cs="Times New Roman"/>
          <w:sz w:val="24"/>
          <w:szCs w:val="24"/>
          <w:lang w:val="es-ES" w:eastAsia="es-ES"/>
        </w:rPr>
        <w:t xml:space="preserve"> </w:t>
      </w:r>
      <w:r w:rsidRPr="00063889">
        <w:rPr>
          <w:rFonts w:ascii="Century" w:eastAsia="Calibri" w:hAnsi="Century" w:cs="Calibri"/>
          <w:b/>
          <w:sz w:val="24"/>
          <w:szCs w:val="24"/>
          <w:lang w:val="es-ES" w:eastAsia="es-ES"/>
        </w:rPr>
        <w:t>SEXTO.</w:t>
      </w:r>
      <w:r w:rsidRPr="00063889">
        <w:rPr>
          <w:rFonts w:ascii="Century" w:eastAsia="Calibri" w:hAnsi="Century" w:cs="Calibri"/>
          <w:sz w:val="24"/>
          <w:szCs w:val="24"/>
          <w:lang w:val="es-ES" w:eastAsia="es-ES"/>
        </w:rPr>
        <w:t xml:space="preserve"> </w:t>
      </w:r>
      <w:r w:rsidRPr="00063889">
        <w:rPr>
          <w:rFonts w:ascii="Century" w:eastAsia="Calibri" w:hAnsi="Century" w:cs="Times New Roman"/>
          <w:sz w:val="24"/>
          <w:szCs w:val="24"/>
          <w:lang w:val="es-ES" w:eastAsia="es-ES"/>
        </w:rPr>
        <w:t xml:space="preserve">Una vez determinada la </w:t>
      </w:r>
      <w:proofErr w:type="spellStart"/>
      <w:r w:rsidRPr="00063889">
        <w:rPr>
          <w:rFonts w:ascii="Century" w:eastAsia="Calibri" w:hAnsi="Century" w:cs="Times New Roman"/>
          <w:sz w:val="24"/>
          <w:szCs w:val="24"/>
          <w:lang w:val="es-ES" w:eastAsia="es-ES"/>
        </w:rPr>
        <w:t>litis</w:t>
      </w:r>
      <w:proofErr w:type="spellEnd"/>
      <w:r w:rsidRPr="00063889">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siguiente jurisprudencia: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240" w:lineRule="auto"/>
        <w:ind w:firstLine="709"/>
        <w:jc w:val="both"/>
        <w:rPr>
          <w:rFonts w:ascii="Century" w:eastAsia="Calibri" w:hAnsi="Century" w:cs="Calibri"/>
          <w:bCs/>
          <w:i/>
          <w:iCs/>
          <w:sz w:val="24"/>
          <w:szCs w:val="24"/>
          <w:lang w:val="es-ES" w:eastAsia="es-ES"/>
        </w:rPr>
      </w:pPr>
      <w:r w:rsidRPr="00063889">
        <w:rPr>
          <w:rFonts w:ascii="Century" w:eastAsia="Calibri" w:hAnsi="Century" w:cs="Times New Roman"/>
          <w:b/>
          <w:bCs/>
          <w:i/>
          <w:iCs/>
          <w:sz w:val="24"/>
          <w:szCs w:val="24"/>
          <w:lang w:val="es-ES" w:eastAsia="es-ES"/>
        </w:rPr>
        <w:t xml:space="preserve">“CONCEPTOS DE VIOLACIÓN. EL JUEZ NO ESTÁ OBLIGADO A TRANSCRIBIRLOS. </w:t>
      </w:r>
      <w:r w:rsidRPr="00063889">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63889">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63889">
        <w:rPr>
          <w:rFonts w:ascii="Century" w:eastAsia="Calibri" w:hAnsi="Century" w:cs="Calibri"/>
          <w:bCs/>
          <w:i/>
          <w:iCs/>
          <w:sz w:val="24"/>
          <w:szCs w:val="24"/>
          <w:lang w:val="es-ES" w:eastAsia="es-ES"/>
        </w:rPr>
        <w:t>Abril</w:t>
      </w:r>
      <w:proofErr w:type="gramEnd"/>
      <w:r w:rsidRPr="00063889">
        <w:rPr>
          <w:rFonts w:ascii="Century" w:eastAsia="Calibri" w:hAnsi="Century" w:cs="Calibri"/>
          <w:bCs/>
          <w:i/>
          <w:iCs/>
          <w:sz w:val="24"/>
          <w:szCs w:val="24"/>
          <w:lang w:val="es-ES" w:eastAsia="es-ES"/>
        </w:rPr>
        <w:t xml:space="preserve"> de 1998, Tesis: VI.2o. J/129. Página: 599”.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En tal sentido, una vez analizados los conceptos de impugnación, quien resuelve determina que el señalado como PRIMERO, mismo que es precisamente el dirigido a controvertir los actos atribuidos y emitidos por el Director de Ejecución, resulta suficiente para decretar la NULIDAD TOTAL de los actos impugnados con base en las siguientes consideraciones: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sz w:val="24"/>
          <w:szCs w:val="24"/>
          <w:lang w:val="es-ES" w:eastAsia="es-ES"/>
        </w:rPr>
        <w:t>En el primer concepto de impugnación, el actor argumenta que los actos impugnados son nulos de pleno derecho, haciendo referencia a diversos preceptos legales del Código de Procedimiento y Justicia Administrativa para el Estado y los Municipios de Guanajuato y de la Ley de Hacienda para los Municipios del Estado de Guanajuato, llegando a la siguiente conclusión: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i/>
          <w:sz w:val="24"/>
          <w:szCs w:val="24"/>
          <w:lang w:val="es-ES" w:eastAsia="es-ES"/>
        </w:rPr>
      </w:pPr>
      <w:r w:rsidRPr="00063889">
        <w:rPr>
          <w:rFonts w:ascii="Century" w:eastAsia="Calibri" w:hAnsi="Century" w:cs="Calibri"/>
          <w:i/>
          <w:sz w:val="24"/>
          <w:szCs w:val="24"/>
          <w:lang w:val="es-ES" w:eastAsia="es-ES"/>
        </w:rPr>
        <w:t>“podemos afirmar que para ser SUJETO PASIVO de la obligación –en este caso del pago del impuesto predial- es menester incurrir en la hipótesis normativa consistente en ser PROPIETARIO O POSEEDOR del bien inmueble generador del impuesto, lo que en la especie no acontece” “En efecto, como quedó referido en el punto respectivo, en el mes de Mayo del año próximo pasado el suscrito deje de ser propietario de los bienes inmuebles cuyo impuesto se me reclama EL CUAL CORRESPONDE AL EJERCICIO FISCAL 2015, luego entonces al no actualizarse ya la hipótesis normativa prevista por el numeral 161 de la Ley de Hacienda para los Municipios del Estado de Guanajuato carezco de la legitimidad pasiva para ser considerado sujeta de la obligación…”</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sz w:val="24"/>
          <w:szCs w:val="24"/>
          <w:lang w:val="es-ES" w:eastAsia="es-ES"/>
        </w:rPr>
        <w:t>Por su parte el Director de Ejecución, al correlativo señaló que resulta ineficaz, inoperante e improcedente, y que dicho planteamiento resulta endeble y deficiente, por virtud de que no expone un verdadero concepto de agravio, esto es, no expone un verdadero motivo por el que se desprenda que los actos combatidos le causen perjuicio.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sz w:val="24"/>
          <w:szCs w:val="24"/>
          <w:lang w:val="es-ES" w:eastAsia="es-ES"/>
        </w:rPr>
        <w:lastRenderedPageBreak/>
        <w:t xml:space="preserve">Así las cosas quien resuelve considera que le asiste la razón al recurrente, por lo siguiente: el actor adjunta a su escrito de demanda la escritura pública número 7,361 (siete mil trescientos sesenta y uno), de fecha 13 trece de mayo del año 2014 dos mil catorce, tirada ante la fe del Notario Público número 17 diecisiete, licenciado Rafael Aranda Villalobos, en legal ejercicio en este partido judicial, en la cual se hace constar el contrato de compraventa que celebran los señores </w:t>
      </w:r>
      <w:r w:rsidR="00B10857">
        <w:rPr>
          <w:rFonts w:ascii="Century" w:eastAsia="Calibri" w:hAnsi="Century" w:cs="Calibri"/>
          <w:sz w:val="24"/>
          <w:szCs w:val="24"/>
          <w:lang w:val="es-ES" w:eastAsia="es-ES"/>
        </w:rPr>
        <w:t>(.....)</w:t>
      </w:r>
      <w:r w:rsidRPr="00063889">
        <w:rPr>
          <w:rFonts w:ascii="Century" w:eastAsia="Calibri" w:hAnsi="Century" w:cs="Calibri"/>
          <w:sz w:val="24"/>
          <w:szCs w:val="24"/>
          <w:lang w:val="es-ES" w:eastAsia="es-ES"/>
        </w:rPr>
        <w:t xml:space="preserve"> y Esther Hernández Vázquez, como parte vendedora, y el señor Pedro Mandujano Barajas, como parte compradora, respecto a los siguientes inmuebles: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i/>
          <w:sz w:val="24"/>
          <w:szCs w:val="24"/>
          <w:lang w:val="es-ES" w:eastAsia="es-ES"/>
        </w:rPr>
      </w:pPr>
      <w:r w:rsidRPr="00063889">
        <w:rPr>
          <w:rFonts w:ascii="Century" w:eastAsia="Calibri" w:hAnsi="Century" w:cs="Times New Roman"/>
          <w:i/>
          <w:sz w:val="24"/>
          <w:szCs w:val="24"/>
          <w:lang w:val="es-ES" w:eastAsia="es-ES"/>
        </w:rPr>
        <w:t xml:space="preserve">“Lote de terreno marcado con el numero 13 trece de la manzana 12 doce, ubicado en calle </w:t>
      </w:r>
      <w:proofErr w:type="gramStart"/>
      <w:r w:rsidR="007539E7">
        <w:rPr>
          <w:rFonts w:ascii="Century" w:eastAsia="Calibri" w:hAnsi="Century" w:cs="Times New Roman"/>
          <w:i/>
          <w:sz w:val="24"/>
          <w:szCs w:val="24"/>
          <w:lang w:val="es-ES" w:eastAsia="es-ES"/>
        </w:rPr>
        <w:t>(....</w:t>
      </w:r>
      <w:proofErr w:type="gramEnd"/>
      <w:r w:rsidR="007539E7">
        <w:rPr>
          <w:rFonts w:ascii="Century" w:eastAsia="Calibri" w:hAnsi="Century" w:cs="Times New Roman"/>
          <w:i/>
          <w:sz w:val="24"/>
          <w:szCs w:val="24"/>
          <w:lang w:val="es-ES" w:eastAsia="es-ES"/>
        </w:rPr>
        <w:t>.)</w:t>
      </w:r>
      <w:r w:rsidRPr="00063889">
        <w:rPr>
          <w:rFonts w:ascii="Century" w:eastAsia="Calibri" w:hAnsi="Century" w:cs="Times New Roman"/>
          <w:i/>
          <w:sz w:val="24"/>
          <w:szCs w:val="24"/>
          <w:lang w:val="es-ES" w:eastAsia="es-ES"/>
        </w:rPr>
        <w:t xml:space="preserve"> con cuenta predial 02AA27428001 (cero dos Letra A letra A dos siete cuatro dos ocho cero </w:t>
      </w:r>
      <w:proofErr w:type="spellStart"/>
      <w:r w:rsidRPr="00063889">
        <w:rPr>
          <w:rFonts w:ascii="Century" w:eastAsia="Calibri" w:hAnsi="Century" w:cs="Times New Roman"/>
          <w:i/>
          <w:sz w:val="24"/>
          <w:szCs w:val="24"/>
          <w:lang w:val="es-ES" w:eastAsia="es-ES"/>
        </w:rPr>
        <w:t>cero</w:t>
      </w:r>
      <w:proofErr w:type="spellEnd"/>
      <w:r w:rsidRPr="00063889">
        <w:rPr>
          <w:rFonts w:ascii="Century" w:eastAsia="Calibri" w:hAnsi="Century" w:cs="Times New Roman"/>
          <w:i/>
          <w:sz w:val="24"/>
          <w:szCs w:val="24"/>
          <w:lang w:val="es-ES" w:eastAsia="es-ES"/>
        </w:rPr>
        <w:t xml:space="preserve"> uno)”. ---------------------------------------------------------------</w:t>
      </w:r>
    </w:p>
    <w:p w:rsidR="00063889" w:rsidRPr="00063889" w:rsidRDefault="00063889" w:rsidP="00063889">
      <w:pPr>
        <w:spacing w:after="0" w:line="360" w:lineRule="auto"/>
        <w:ind w:firstLine="709"/>
        <w:jc w:val="both"/>
        <w:rPr>
          <w:rFonts w:ascii="Century" w:eastAsia="Calibri" w:hAnsi="Century" w:cs="Calibri"/>
          <w:i/>
          <w:sz w:val="24"/>
          <w:szCs w:val="24"/>
          <w:lang w:val="es-ES" w:eastAsia="es-ES"/>
        </w:rPr>
      </w:pPr>
    </w:p>
    <w:p w:rsidR="00063889" w:rsidRPr="00063889" w:rsidRDefault="00063889" w:rsidP="00063889">
      <w:pPr>
        <w:spacing w:after="0" w:line="360" w:lineRule="auto"/>
        <w:ind w:firstLine="708"/>
        <w:jc w:val="both"/>
        <w:rPr>
          <w:rFonts w:ascii="Century" w:eastAsia="Calibri" w:hAnsi="Century" w:cs="Calibri"/>
          <w:sz w:val="24"/>
          <w:szCs w:val="24"/>
          <w:lang w:val="es-ES" w:eastAsia="es-ES"/>
        </w:rPr>
      </w:pPr>
      <w:r w:rsidRPr="00063889">
        <w:rPr>
          <w:rFonts w:ascii="Century" w:eastAsia="Calibri" w:hAnsi="Century" w:cs="Times New Roman"/>
          <w:i/>
          <w:sz w:val="24"/>
          <w:szCs w:val="24"/>
          <w:lang w:val="es-ES" w:eastAsia="es-ES"/>
        </w:rPr>
        <w:t xml:space="preserve">“Finca urbana número 108 ciento ocho, antes número 133 ciento treinta y tres y originalmente número 106 ciento seis, de la calle San Sergio, construida sobre el lote de terreno número 14 catorce de la manzana 12 doce del Fraccionamiento </w:t>
      </w:r>
      <w:r w:rsidRPr="007539E7">
        <w:rPr>
          <w:rFonts w:ascii="Century" w:eastAsia="Calibri" w:hAnsi="Century" w:cs="Times New Roman"/>
          <w:i/>
          <w:sz w:val="24"/>
          <w:szCs w:val="24"/>
          <w:lang w:val="es-ES" w:eastAsia="es-ES"/>
        </w:rPr>
        <w:t>San Manuel,</w:t>
      </w:r>
      <w:r w:rsidRPr="00063889">
        <w:rPr>
          <w:rFonts w:ascii="Century" w:eastAsia="Calibri" w:hAnsi="Century" w:cs="Times New Roman"/>
          <w:i/>
          <w:sz w:val="24"/>
          <w:szCs w:val="24"/>
          <w:lang w:val="es-ES" w:eastAsia="es-ES"/>
        </w:rPr>
        <w:t xml:space="preserve"> con cuenta predial 02AA28311 001 (cero dos Letra A letra A dos ocho tres uno </w:t>
      </w:r>
      <w:proofErr w:type="spellStart"/>
      <w:r w:rsidRPr="00063889">
        <w:rPr>
          <w:rFonts w:ascii="Century" w:eastAsia="Calibri" w:hAnsi="Century" w:cs="Times New Roman"/>
          <w:i/>
          <w:sz w:val="24"/>
          <w:szCs w:val="24"/>
          <w:lang w:val="es-ES" w:eastAsia="es-ES"/>
        </w:rPr>
        <w:t>uno</w:t>
      </w:r>
      <w:proofErr w:type="spellEnd"/>
      <w:r w:rsidRPr="00063889">
        <w:rPr>
          <w:rFonts w:ascii="Century" w:eastAsia="Calibri" w:hAnsi="Century" w:cs="Times New Roman"/>
          <w:i/>
          <w:sz w:val="24"/>
          <w:szCs w:val="24"/>
          <w:lang w:val="es-ES" w:eastAsia="es-ES"/>
        </w:rPr>
        <w:t xml:space="preserve"> cero </w:t>
      </w:r>
      <w:proofErr w:type="spellStart"/>
      <w:r w:rsidRPr="00063889">
        <w:rPr>
          <w:rFonts w:ascii="Century" w:eastAsia="Calibri" w:hAnsi="Century" w:cs="Times New Roman"/>
          <w:i/>
          <w:sz w:val="24"/>
          <w:szCs w:val="24"/>
          <w:lang w:val="es-ES" w:eastAsia="es-ES"/>
        </w:rPr>
        <w:t>cero</w:t>
      </w:r>
      <w:proofErr w:type="spellEnd"/>
      <w:r w:rsidRPr="00063889">
        <w:rPr>
          <w:rFonts w:ascii="Century" w:eastAsia="Calibri" w:hAnsi="Century" w:cs="Times New Roman"/>
          <w:i/>
          <w:sz w:val="24"/>
          <w:szCs w:val="24"/>
          <w:lang w:val="es-ES" w:eastAsia="es-ES"/>
        </w:rPr>
        <w:t xml:space="preserve"> uno)”. --------------------------------</w:t>
      </w:r>
    </w:p>
    <w:p w:rsidR="00063889" w:rsidRPr="00063889" w:rsidRDefault="00063889" w:rsidP="00063889">
      <w:pPr>
        <w:spacing w:after="0" w:line="360" w:lineRule="auto"/>
        <w:ind w:firstLine="708"/>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sz w:val="24"/>
          <w:szCs w:val="24"/>
          <w:lang w:val="es-ES" w:eastAsia="es-ES"/>
        </w:rPr>
        <w:t xml:space="preserve">La escritura anterior, merece pleno valor probatorio, al tratarse de un documento público, toda vez que es expedido por fedatario público, en ejercicio de sus </w:t>
      </w:r>
      <w:proofErr w:type="gramStart"/>
      <w:r w:rsidRPr="00063889">
        <w:rPr>
          <w:rFonts w:ascii="Century" w:eastAsia="Calibri" w:hAnsi="Century" w:cs="Calibri"/>
          <w:sz w:val="24"/>
          <w:szCs w:val="24"/>
          <w:lang w:val="es-ES" w:eastAsia="es-ES"/>
        </w:rPr>
        <w:t>funciones ,de</w:t>
      </w:r>
      <w:proofErr w:type="gramEnd"/>
      <w:r w:rsidRPr="00063889">
        <w:rPr>
          <w:rFonts w:ascii="Century" w:eastAsia="Calibri" w:hAnsi="Century" w:cs="Calibri"/>
          <w:sz w:val="24"/>
          <w:szCs w:val="24"/>
          <w:lang w:val="es-ES" w:eastAsia="es-ES"/>
        </w:rPr>
        <w:t xml:space="preserve"> conformidad a lo señalado por los artículos 78, 117, 121 y131 del Código de Procedimiento y Justicia Administrativa para el Estado y los Municipios de Guanajuato.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Times New Roman"/>
          <w:sz w:val="24"/>
          <w:szCs w:val="24"/>
          <w:lang w:val="es-ES" w:eastAsia="es-ES"/>
        </w:rPr>
        <w:t xml:space="preserve">Expuesto lo anterior, se aprecia que en el presente juicio se le requiere al actor el pago por concepto de impuesto predial, correspondiente al periodo 01 primero al 3 tercer bimestre del año 2015 dos mil quince, respecto al inmueble ubicado en calle </w:t>
      </w:r>
      <w:proofErr w:type="gramStart"/>
      <w:r w:rsidR="007539E7">
        <w:rPr>
          <w:rFonts w:ascii="Century" w:eastAsia="Calibri" w:hAnsi="Century" w:cs="Times New Roman"/>
          <w:sz w:val="24"/>
          <w:szCs w:val="24"/>
          <w:lang w:val="es-ES" w:eastAsia="es-ES"/>
        </w:rPr>
        <w:t>(....</w:t>
      </w:r>
      <w:proofErr w:type="gramEnd"/>
      <w:r w:rsidR="007539E7">
        <w:rPr>
          <w:rFonts w:ascii="Century" w:eastAsia="Calibri" w:hAnsi="Century" w:cs="Times New Roman"/>
          <w:sz w:val="24"/>
          <w:szCs w:val="24"/>
          <w:lang w:val="es-ES" w:eastAsia="es-ES"/>
        </w:rPr>
        <w:t>.)</w:t>
      </w:r>
      <w:r w:rsidRPr="00063889">
        <w:rPr>
          <w:rFonts w:ascii="Century" w:eastAsia="Calibri" w:hAnsi="Century" w:cs="Times New Roman"/>
          <w:sz w:val="24"/>
          <w:szCs w:val="24"/>
          <w:lang w:val="es-ES" w:eastAsia="es-ES"/>
        </w:rPr>
        <w:t xml:space="preserve">, con cuenta predial 02AA27428001 (cero dos </w:t>
      </w:r>
      <w:r w:rsidRPr="00063889">
        <w:rPr>
          <w:rFonts w:ascii="Century" w:eastAsia="Calibri" w:hAnsi="Century" w:cs="Times New Roman"/>
          <w:sz w:val="24"/>
          <w:szCs w:val="24"/>
          <w:lang w:val="es-ES" w:eastAsia="es-ES"/>
        </w:rPr>
        <w:lastRenderedPageBreak/>
        <w:t xml:space="preserve">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 Así como también, el pago por concepto de impuesto predial, correspondiente al periodo 01 primer al 3 tercer bimestre del 2015 dos mil quince, respecto al inmueble ubicado en calle </w:t>
      </w:r>
      <w:bookmarkStart w:id="0" w:name="_GoBack"/>
      <w:proofErr w:type="gramStart"/>
      <w:r w:rsidR="007539E7">
        <w:rPr>
          <w:rFonts w:ascii="Century" w:eastAsia="Calibri" w:hAnsi="Century" w:cs="Times New Roman"/>
          <w:sz w:val="24"/>
          <w:szCs w:val="24"/>
          <w:lang w:val="es-ES" w:eastAsia="es-ES"/>
        </w:rPr>
        <w:t>(....</w:t>
      </w:r>
      <w:proofErr w:type="gramEnd"/>
      <w:r w:rsidR="007539E7">
        <w:rPr>
          <w:rFonts w:ascii="Century" w:eastAsia="Calibri" w:hAnsi="Century" w:cs="Times New Roman"/>
          <w:sz w:val="24"/>
          <w:szCs w:val="24"/>
          <w:lang w:val="es-ES" w:eastAsia="es-ES"/>
        </w:rPr>
        <w:t>.)</w:t>
      </w:r>
      <w:bookmarkEnd w:id="0"/>
      <w:r w:rsidRPr="00063889">
        <w:rPr>
          <w:rFonts w:ascii="Century" w:eastAsia="Calibri" w:hAnsi="Century" w:cs="Times New Roman"/>
          <w:sz w:val="24"/>
          <w:szCs w:val="24"/>
          <w:lang w:val="es-ES" w:eastAsia="es-ES"/>
        </w:rPr>
        <w:t xml:space="preserve">, con cuenta predial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b/>
          <w:i/>
          <w:sz w:val="24"/>
          <w:szCs w:val="24"/>
          <w:lang w:val="es-ES" w:eastAsia="es-ES"/>
        </w:rPr>
      </w:pPr>
      <w:r w:rsidRPr="00063889">
        <w:rPr>
          <w:rFonts w:ascii="Century" w:eastAsia="Calibri" w:hAnsi="Century" w:cs="Times New Roman"/>
          <w:sz w:val="24"/>
          <w:szCs w:val="24"/>
          <w:lang w:val="es-ES" w:eastAsia="es-ES"/>
        </w:rPr>
        <w:t xml:space="preserve">De lo anterior, se desprende que se trata de los inmuebles que el actor enajenó a través de la escritura pública número 7,361 (siete mil trescientos sesenta y uno), de fecha 13 trece de mayo del año 2014 dos mil catorce, tirada ante la fe del Notario Público número 17 diecisiete, licenciado Rafael Aranda Villalobos, en tal sentido, resulta evidente que el ciudadano </w:t>
      </w:r>
      <w:r w:rsidR="00B10857">
        <w:rPr>
          <w:rFonts w:ascii="Century" w:eastAsia="Calibri" w:hAnsi="Century" w:cs="Times New Roman"/>
          <w:sz w:val="24"/>
          <w:szCs w:val="24"/>
          <w:lang w:val="es-ES" w:eastAsia="es-ES"/>
        </w:rPr>
        <w:t>(.....)</w:t>
      </w:r>
      <w:r w:rsidRPr="00063889">
        <w:rPr>
          <w:rFonts w:ascii="Century" w:eastAsia="Calibri" w:hAnsi="Century" w:cs="Times New Roman"/>
          <w:sz w:val="24"/>
          <w:szCs w:val="24"/>
          <w:lang w:val="es-ES" w:eastAsia="es-ES"/>
        </w:rPr>
        <w:t>, ya no es el propietario de dichos inmuebles, por lo tanto, no está obligado al pago del impuesto predial respecto de éstos, pues ya no son de su propiedad; lo anterior de acuerdo a lo dispuesto por el artículo 161, párrafo primero, de la Ley de Hacienda para los Municipios del Estado de Guanajuato, disposición fiscal que establece: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i/>
          <w:sz w:val="24"/>
          <w:szCs w:val="24"/>
          <w:lang w:val="es-ES" w:eastAsia="es-ES"/>
        </w:rPr>
      </w:pPr>
      <w:r w:rsidRPr="00063889">
        <w:rPr>
          <w:rFonts w:ascii="Century" w:eastAsia="Calibri" w:hAnsi="Century" w:cs="Times New Roman"/>
          <w:bCs/>
          <w:i/>
          <w:sz w:val="24"/>
          <w:szCs w:val="24"/>
          <w:lang w:val="es-ES" w:eastAsia="es-ES"/>
        </w:rPr>
        <w:t>“Artículo</w:t>
      </w:r>
      <w:r w:rsidRPr="00063889">
        <w:rPr>
          <w:rFonts w:ascii="Century" w:eastAsia="Calibri" w:hAnsi="Century" w:cs="Times New Roman"/>
          <w:i/>
          <w:sz w:val="24"/>
          <w:szCs w:val="24"/>
          <w:lang w:val="es-ES" w:eastAsia="es-ES"/>
        </w:rPr>
        <w:t xml:space="preserve"> 161.- Están obligados al pago de este impuesto las personas físicas o morales que sean propietarias o poseedoras de inmuebles por cualquier título.</w:t>
      </w:r>
    </w:p>
    <w:p w:rsidR="00063889" w:rsidRPr="00063889" w:rsidRDefault="00063889" w:rsidP="00063889">
      <w:pPr>
        <w:spacing w:after="0" w:line="360" w:lineRule="auto"/>
        <w:ind w:firstLine="709"/>
        <w:jc w:val="both"/>
        <w:rPr>
          <w:rFonts w:ascii="Century" w:eastAsia="Calibri" w:hAnsi="Century" w:cs="Times New Roman"/>
          <w:i/>
          <w:sz w:val="24"/>
          <w:szCs w:val="24"/>
          <w:lang w:val="es-ES" w:eastAsia="es-ES"/>
        </w:rPr>
      </w:pPr>
      <w:r w:rsidRPr="00063889">
        <w:rPr>
          <w:rFonts w:ascii="Century" w:eastAsia="Calibri" w:hAnsi="Century" w:cs="Times New Roman"/>
          <w:i/>
          <w:sz w:val="24"/>
          <w:szCs w:val="24"/>
          <w:lang w:val="es-ES" w:eastAsia="es-ES"/>
        </w:rPr>
        <w:t>…”</w:t>
      </w:r>
    </w:p>
    <w:p w:rsidR="00063889" w:rsidRPr="00063889" w:rsidRDefault="00063889" w:rsidP="00063889">
      <w:pPr>
        <w:spacing w:after="0" w:line="360" w:lineRule="auto"/>
        <w:ind w:firstLine="709"/>
        <w:jc w:val="both"/>
        <w:rPr>
          <w:rFonts w:ascii="Arial Narrow" w:eastAsia="Calibri" w:hAnsi="Arial Narrow" w:cs="Arial"/>
          <w:i/>
          <w:color w:val="404040"/>
          <w:sz w:val="27"/>
          <w:szCs w:val="27"/>
          <w:lang w:val="es-ES" w:eastAsia="es-ES"/>
        </w:rPr>
      </w:pPr>
    </w:p>
    <w:p w:rsidR="00063889" w:rsidRPr="00063889" w:rsidRDefault="00063889" w:rsidP="00063889">
      <w:pPr>
        <w:spacing w:after="0" w:line="360" w:lineRule="auto"/>
        <w:ind w:firstLine="708"/>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Es decir, de acuerdo al precepto legal invocado, los sujetos obligados al pago del impuesto predial son las personas físicas o morales propietarias o poseedoras de inmuebles, por cualquier título, y en el presente caso, el actor acredito no ser propietario de los inmuebles con cuenta predial número 02AA27428001 (cero dos 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cuenta predial número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de los cuales se le requiere el pago del </w:t>
      </w:r>
      <w:r w:rsidRPr="00063889">
        <w:rPr>
          <w:rFonts w:ascii="Century" w:eastAsia="Calibri" w:hAnsi="Century" w:cs="Times New Roman"/>
          <w:sz w:val="24"/>
          <w:szCs w:val="24"/>
          <w:lang w:val="es-ES" w:eastAsia="es-ES"/>
        </w:rPr>
        <w:lastRenderedPageBreak/>
        <w:t>impuesto predial, además, es de destacar y precisar que la escritura pública data de fecha 13 trece de mayo del año 2014 dos mil catorce, y se le requiere el pago del 01 primero al 03 tercer bimestre del año 2015 dos mil quince, en tal sentido, es que tampoco se acredita que el actor sea poseedor de dichos inmuebles, por lo que, no puede considerarse, respecto a dichos inmuebles, como sujeto pasivo de la relación tributaria en materia de impuesto predial, y por consiguiente requerírsele el pago por dicho tributo. -------------------------------</w:t>
      </w:r>
    </w:p>
    <w:p w:rsidR="00063889" w:rsidRPr="00063889" w:rsidRDefault="00063889" w:rsidP="00063889">
      <w:pPr>
        <w:spacing w:after="0" w:line="360" w:lineRule="auto"/>
        <w:ind w:firstLine="708"/>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8"/>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 xml:space="preserve">No </w:t>
      </w:r>
      <w:proofErr w:type="gramStart"/>
      <w:r w:rsidRPr="00063889">
        <w:rPr>
          <w:rFonts w:ascii="Century" w:eastAsia="Calibri" w:hAnsi="Century" w:cs="Times New Roman"/>
          <w:sz w:val="24"/>
          <w:szCs w:val="24"/>
          <w:lang w:val="es-ES" w:eastAsia="es-ES"/>
        </w:rPr>
        <w:t>obstante</w:t>
      </w:r>
      <w:proofErr w:type="gramEnd"/>
      <w:r w:rsidRPr="00063889">
        <w:rPr>
          <w:rFonts w:ascii="Century" w:eastAsia="Calibri" w:hAnsi="Century" w:cs="Times New Roman"/>
          <w:sz w:val="24"/>
          <w:szCs w:val="24"/>
          <w:lang w:val="es-ES" w:eastAsia="es-ES"/>
        </w:rPr>
        <w:t xml:space="preserve"> lo anterior, es preciso hacer referencia al justiciable, que resulta menester, por tratarse de la enajenación bienes inmuebles, y, con la finalidad de que surta efectos contra terceros y se lleve la publicidad respecto de la no propiedad, hacer los correspondientes registros y trámites ante las autoridades competentes. -----------------------------------------------------------------------</w:t>
      </w:r>
    </w:p>
    <w:p w:rsidR="00063889" w:rsidRPr="00063889" w:rsidRDefault="00063889" w:rsidP="00063889">
      <w:pPr>
        <w:spacing w:after="0" w:line="360" w:lineRule="auto"/>
        <w:ind w:firstLine="708"/>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En ese orden de ideas, es que se determina que el requerimiento de pago, su notificación, mandamiento de e</w:t>
      </w:r>
      <w:r w:rsidRPr="00063889">
        <w:rPr>
          <w:rFonts w:ascii="Century" w:eastAsia="Calibri" w:hAnsi="Century" w:cs="Arial"/>
          <w:sz w:val="24"/>
          <w:szCs w:val="24"/>
          <w:lang w:val="es-ES" w:eastAsia="es-ES"/>
        </w:rPr>
        <w:t xml:space="preserve">jecución y acta de embargo, de los inmuebles con cuenta predial número </w:t>
      </w:r>
      <w:r w:rsidRPr="00063889">
        <w:rPr>
          <w:rFonts w:ascii="Century" w:eastAsia="Calibri" w:hAnsi="Century" w:cs="Times New Roman"/>
          <w:sz w:val="24"/>
          <w:szCs w:val="24"/>
          <w:lang w:val="es-ES" w:eastAsia="es-ES"/>
        </w:rPr>
        <w:t xml:space="preserve">02AA27428001 (cero dos 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w:t>
      </w:r>
      <w:r w:rsidRPr="00063889">
        <w:rPr>
          <w:rFonts w:ascii="Century" w:eastAsia="Calibri" w:hAnsi="Century" w:cs="Arial"/>
          <w:sz w:val="24"/>
          <w:szCs w:val="24"/>
          <w:lang w:val="es-ES" w:eastAsia="es-ES"/>
        </w:rPr>
        <w:t xml:space="preserve">cuenta predial número </w:t>
      </w:r>
      <w:r w:rsidRPr="00063889">
        <w:rPr>
          <w:rFonts w:ascii="Century" w:eastAsia="Calibri" w:hAnsi="Century" w:cs="Times New Roman"/>
          <w:sz w:val="24"/>
          <w:szCs w:val="24"/>
          <w:lang w:val="es-ES" w:eastAsia="es-ES"/>
        </w:rPr>
        <w:t xml:space="preserve">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w:t>
      </w:r>
      <w:r w:rsidRPr="00063889">
        <w:rPr>
          <w:rFonts w:ascii="Century" w:eastAsia="Calibri" w:hAnsi="Century" w:cs="Arial"/>
          <w:sz w:val="24"/>
          <w:szCs w:val="24"/>
          <w:lang w:val="es-ES" w:eastAsia="es-ES"/>
        </w:rPr>
        <w:t>fueron emitidos en contravención al artículo 161 de la Ley de Hacienda para los Municipios del Estado de Guanajuato, en tal sentido se actualiza la causal de ilegalidad señalada en la IV del artículo 302 del Código de Procedimiento y Justicia Administrativa para el Estado y los Municipios de Guanajuato, por lo que con fundamento en lo establecido en el artículo 300, fracción II, del mismo Código, es de decretarse la nulidad</w:t>
      </w:r>
      <w:r w:rsidRPr="00063889">
        <w:rPr>
          <w:rFonts w:ascii="Century" w:eastAsia="Calibri" w:hAnsi="Century" w:cs="Arial"/>
          <w:b/>
          <w:sz w:val="24"/>
          <w:szCs w:val="24"/>
          <w:lang w:val="es-ES" w:eastAsia="es-ES"/>
        </w:rPr>
        <w:t xml:space="preserve"> </w:t>
      </w:r>
      <w:r w:rsidRPr="00063889">
        <w:rPr>
          <w:rFonts w:ascii="Century" w:eastAsia="Calibri" w:hAnsi="Century" w:cs="Arial"/>
          <w:sz w:val="24"/>
          <w:szCs w:val="24"/>
          <w:lang w:val="es-ES" w:eastAsia="es-ES"/>
        </w:rPr>
        <w:t xml:space="preserve">total </w:t>
      </w:r>
      <w:r w:rsidRPr="00063889">
        <w:rPr>
          <w:rFonts w:ascii="Century" w:eastAsia="Calibri" w:hAnsi="Century" w:cs="Times New Roman"/>
          <w:sz w:val="24"/>
          <w:szCs w:val="24"/>
          <w:lang w:val="es-ES" w:eastAsia="es-ES"/>
        </w:rPr>
        <w:t>de dichos actos. ----------------------------------------</w:t>
      </w:r>
    </w:p>
    <w:p w:rsidR="00063889" w:rsidRPr="00063889" w:rsidRDefault="00063889" w:rsidP="00063889">
      <w:pPr>
        <w:spacing w:after="0" w:line="360" w:lineRule="auto"/>
        <w:ind w:firstLine="709"/>
        <w:jc w:val="both"/>
        <w:rPr>
          <w:rFonts w:ascii="Arial Narrow" w:eastAsia="Calibri" w:hAnsi="Arial Narrow" w:cs="Times New Roman"/>
          <w:color w:val="404040"/>
          <w:sz w:val="27"/>
          <w:szCs w:val="27"/>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Times New Roman"/>
          <w:sz w:val="24"/>
          <w:szCs w:val="24"/>
          <w:lang w:val="es-ES" w:eastAsia="es-ES"/>
        </w:rPr>
        <w:t>Por lo expuesto, y con fundamento además en lo dispuesto en los artículos 143 primer párrafo, 249, 298, 299 y 300, fracción II y 302 fracción IV, del Código de Procedimiento y Justicia Administrativa para el Estado y los Municipios de Guanajuato, es de resolverse y se.</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9"/>
        <w:jc w:val="center"/>
        <w:rPr>
          <w:rFonts w:ascii="Century" w:eastAsia="Calibri" w:hAnsi="Century" w:cs="Calibri"/>
          <w:iCs/>
          <w:sz w:val="24"/>
          <w:szCs w:val="24"/>
          <w:lang w:val="es-ES" w:eastAsia="es-ES"/>
        </w:rPr>
      </w:pPr>
      <w:r w:rsidRPr="00063889">
        <w:rPr>
          <w:rFonts w:ascii="Century" w:eastAsia="Calibri" w:hAnsi="Century" w:cs="Calibri"/>
          <w:b/>
          <w:iCs/>
          <w:sz w:val="24"/>
          <w:szCs w:val="24"/>
          <w:lang w:val="es-ES" w:eastAsia="es-ES"/>
        </w:rPr>
        <w:lastRenderedPageBreak/>
        <w:t xml:space="preserve">R E S U E L V </w:t>
      </w:r>
      <w:proofErr w:type="gramStart"/>
      <w:r w:rsidRPr="00063889">
        <w:rPr>
          <w:rFonts w:ascii="Century" w:eastAsia="Calibri" w:hAnsi="Century" w:cs="Calibri"/>
          <w:b/>
          <w:iCs/>
          <w:sz w:val="24"/>
          <w:szCs w:val="24"/>
          <w:lang w:val="es-ES" w:eastAsia="es-ES"/>
        </w:rPr>
        <w:t xml:space="preserve">E </w:t>
      </w:r>
      <w:r w:rsidRPr="00063889">
        <w:rPr>
          <w:rFonts w:ascii="Century" w:eastAsia="Calibri" w:hAnsi="Century" w:cs="Calibri"/>
          <w:iCs/>
          <w:sz w:val="24"/>
          <w:szCs w:val="24"/>
          <w:lang w:val="es-ES" w:eastAsia="es-ES"/>
        </w:rPr>
        <w:t>:</w:t>
      </w:r>
      <w:proofErr w:type="gramEnd"/>
    </w:p>
    <w:p w:rsidR="00063889" w:rsidRPr="00063889" w:rsidRDefault="00063889" w:rsidP="00063889">
      <w:pPr>
        <w:spacing w:after="0" w:line="360" w:lineRule="auto"/>
        <w:ind w:firstLine="709"/>
        <w:jc w:val="both"/>
        <w:rPr>
          <w:rFonts w:ascii="Century" w:eastAsia="Calibri" w:hAnsi="Century" w:cs="Calibri"/>
          <w:iCs/>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b/>
          <w:bCs/>
          <w:iCs/>
          <w:sz w:val="24"/>
          <w:szCs w:val="24"/>
          <w:lang w:val="es-ES" w:eastAsia="es-ES"/>
        </w:rPr>
        <w:t>PRIMERO</w:t>
      </w:r>
      <w:r w:rsidRPr="00063889">
        <w:rPr>
          <w:rFonts w:ascii="Century" w:eastAsia="Calibri" w:hAnsi="Century" w:cs="Calibri"/>
          <w:sz w:val="24"/>
          <w:szCs w:val="24"/>
          <w:lang w:val="es-ES" w:eastAsia="es-ES"/>
        </w:rPr>
        <w:t xml:space="preserve">. Este Juzgado Tercero Administrativo Municipal resultó competente para conocer y resolver del presente proceso administrativo. -------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b/>
          <w:bCs/>
          <w:iCs/>
          <w:sz w:val="24"/>
          <w:szCs w:val="24"/>
          <w:lang w:val="es-ES" w:eastAsia="es-ES"/>
        </w:rPr>
        <w:t xml:space="preserve">SEGUNDO. </w:t>
      </w:r>
      <w:r w:rsidRPr="00063889">
        <w:rPr>
          <w:rFonts w:ascii="Century" w:eastAsia="Calibri" w:hAnsi="Century" w:cs="Calibri"/>
          <w:sz w:val="24"/>
          <w:szCs w:val="24"/>
          <w:lang w:val="es-ES" w:eastAsia="es-ES"/>
        </w:rPr>
        <w:t>Resultó procedente el proceso administrativo promovido por el justiciable, en contra de los actos impugnados.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r w:rsidRPr="00063889">
        <w:rPr>
          <w:rFonts w:ascii="Century" w:eastAsia="Calibri" w:hAnsi="Century" w:cs="Calibri"/>
          <w:b/>
          <w:bCs/>
          <w:iCs/>
          <w:sz w:val="24"/>
          <w:szCs w:val="24"/>
          <w:lang w:val="es-ES" w:eastAsia="es-ES"/>
        </w:rPr>
        <w:t xml:space="preserve">TERCERO. </w:t>
      </w:r>
      <w:r w:rsidRPr="00063889">
        <w:rPr>
          <w:rFonts w:ascii="Century" w:eastAsia="Calibri" w:hAnsi="Century" w:cs="Times New Roman"/>
          <w:sz w:val="24"/>
          <w:szCs w:val="24"/>
          <w:lang w:val="es-ES" w:eastAsia="es-ES"/>
        </w:rPr>
        <w:t xml:space="preserve">Se decreta el </w:t>
      </w:r>
      <w:r w:rsidRPr="00063889">
        <w:rPr>
          <w:rFonts w:ascii="Century" w:eastAsia="Calibri" w:hAnsi="Century" w:cs="Times New Roman"/>
          <w:b/>
          <w:sz w:val="24"/>
          <w:szCs w:val="24"/>
          <w:lang w:val="es-ES" w:eastAsia="es-ES"/>
        </w:rPr>
        <w:t>SOBRESEIMIENTO</w:t>
      </w:r>
      <w:r w:rsidRPr="00063889">
        <w:rPr>
          <w:rFonts w:ascii="Century" w:eastAsia="Calibri" w:hAnsi="Century" w:cs="Times New Roman"/>
          <w:sz w:val="24"/>
          <w:szCs w:val="24"/>
          <w:lang w:val="es-ES" w:eastAsia="es-ES"/>
        </w:rPr>
        <w:t>, respecto al Fideicomiso de Obras por Cooperación, de acuerdo a lo señalado en el Considerando Cuarto de la presente sentencia. -----------------------------------------------------------------------</w:t>
      </w:r>
    </w:p>
    <w:p w:rsidR="00063889" w:rsidRPr="00063889" w:rsidRDefault="00063889" w:rsidP="00063889">
      <w:pPr>
        <w:spacing w:after="0" w:line="360" w:lineRule="auto"/>
        <w:ind w:firstLine="709"/>
        <w:jc w:val="both"/>
        <w:rPr>
          <w:rFonts w:ascii="Century" w:eastAsia="Calibri" w:hAnsi="Century" w:cs="Times New Roman"/>
          <w:sz w:val="24"/>
          <w:szCs w:val="24"/>
          <w:lang w:val="es-ES" w:eastAsia="es-ES"/>
        </w:rPr>
      </w:pPr>
    </w:p>
    <w:p w:rsidR="00063889" w:rsidRPr="00063889" w:rsidRDefault="00063889" w:rsidP="00063889">
      <w:pPr>
        <w:spacing w:after="0" w:line="360" w:lineRule="auto"/>
        <w:ind w:firstLine="708"/>
        <w:jc w:val="both"/>
        <w:rPr>
          <w:rFonts w:ascii="Century" w:eastAsia="Calibri" w:hAnsi="Century" w:cs="Times New Roman"/>
          <w:bCs/>
          <w:sz w:val="24"/>
          <w:szCs w:val="24"/>
          <w:lang w:val="es-ES" w:eastAsia="es-ES"/>
        </w:rPr>
      </w:pPr>
      <w:r w:rsidRPr="00063889">
        <w:rPr>
          <w:rFonts w:ascii="Century" w:eastAsia="Calibri" w:hAnsi="Century" w:cs="Times New Roman"/>
          <w:b/>
          <w:sz w:val="24"/>
          <w:szCs w:val="24"/>
          <w:lang w:val="es-ES" w:eastAsia="es-ES"/>
        </w:rPr>
        <w:t>CUARTO.</w:t>
      </w:r>
      <w:r w:rsidRPr="00063889">
        <w:rPr>
          <w:rFonts w:ascii="Century" w:eastAsia="Calibri" w:hAnsi="Century" w:cs="Times New Roman"/>
          <w:sz w:val="24"/>
          <w:szCs w:val="24"/>
          <w:lang w:val="es-ES" w:eastAsia="es-ES"/>
        </w:rPr>
        <w:t xml:space="preserve"> Se decreta la </w:t>
      </w:r>
      <w:r w:rsidRPr="00063889">
        <w:rPr>
          <w:rFonts w:ascii="Century" w:eastAsia="Calibri" w:hAnsi="Century" w:cs="Times New Roman"/>
          <w:b/>
          <w:sz w:val="24"/>
          <w:szCs w:val="24"/>
          <w:lang w:val="es-ES" w:eastAsia="es-ES"/>
        </w:rPr>
        <w:t>NULIDAD TOTAL</w:t>
      </w:r>
      <w:r w:rsidRPr="00063889">
        <w:rPr>
          <w:rFonts w:ascii="Century" w:eastAsia="Calibri" w:hAnsi="Century" w:cs="Times New Roman"/>
          <w:sz w:val="24"/>
          <w:szCs w:val="24"/>
          <w:lang w:val="es-ES" w:eastAsia="es-ES"/>
        </w:rPr>
        <w:t xml:space="preserve"> del requerimiento de pago, mandamiento de ejecución y acta de embargo emitidos correspondientes a la cuenta predial número 02AA27428001 (cero dos Letra A Letra A dos siete cuatro dos ocho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y cuenta predial número 02AA28311 001 (cero dos Letra A Letra A dos ocho tres uno </w:t>
      </w:r>
      <w:proofErr w:type="spellStart"/>
      <w:r w:rsidRPr="00063889">
        <w:rPr>
          <w:rFonts w:ascii="Century" w:eastAsia="Calibri" w:hAnsi="Century" w:cs="Times New Roman"/>
          <w:sz w:val="24"/>
          <w:szCs w:val="24"/>
          <w:lang w:val="es-ES" w:eastAsia="es-ES"/>
        </w:rPr>
        <w:t>uno</w:t>
      </w:r>
      <w:proofErr w:type="spellEnd"/>
      <w:r w:rsidRPr="00063889">
        <w:rPr>
          <w:rFonts w:ascii="Century" w:eastAsia="Calibri" w:hAnsi="Century" w:cs="Times New Roman"/>
          <w:sz w:val="24"/>
          <w:szCs w:val="24"/>
          <w:lang w:val="es-ES" w:eastAsia="es-ES"/>
        </w:rPr>
        <w:t xml:space="preserve"> cero </w:t>
      </w:r>
      <w:proofErr w:type="spellStart"/>
      <w:r w:rsidRPr="00063889">
        <w:rPr>
          <w:rFonts w:ascii="Century" w:eastAsia="Calibri" w:hAnsi="Century" w:cs="Times New Roman"/>
          <w:sz w:val="24"/>
          <w:szCs w:val="24"/>
          <w:lang w:val="es-ES" w:eastAsia="es-ES"/>
        </w:rPr>
        <w:t>cero</w:t>
      </w:r>
      <w:proofErr w:type="spellEnd"/>
      <w:r w:rsidRPr="00063889">
        <w:rPr>
          <w:rFonts w:ascii="Century" w:eastAsia="Calibri" w:hAnsi="Century" w:cs="Times New Roman"/>
          <w:sz w:val="24"/>
          <w:szCs w:val="24"/>
          <w:lang w:val="es-ES" w:eastAsia="es-ES"/>
        </w:rPr>
        <w:t xml:space="preserve"> uno), con base en lo expuesto en el Considerando Sexto de la presente sentencia. -----------------------</w:t>
      </w:r>
    </w:p>
    <w:p w:rsidR="00063889" w:rsidRPr="00063889" w:rsidRDefault="00063889" w:rsidP="00063889">
      <w:pPr>
        <w:spacing w:after="0" w:line="360" w:lineRule="auto"/>
        <w:ind w:firstLine="709"/>
        <w:jc w:val="both"/>
        <w:rPr>
          <w:rFonts w:ascii="Century" w:eastAsia="Calibri" w:hAnsi="Century" w:cs="Times New Roman"/>
          <w:bCs/>
          <w:sz w:val="24"/>
          <w:szCs w:val="24"/>
          <w:lang w:val="es-ES" w:eastAsia="es-ES"/>
        </w:rPr>
      </w:pP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r w:rsidRPr="00063889">
        <w:rPr>
          <w:rFonts w:ascii="Century" w:eastAsia="Calibri" w:hAnsi="Century" w:cs="Calibri"/>
          <w:b/>
          <w:sz w:val="24"/>
          <w:szCs w:val="24"/>
          <w:lang w:val="es-ES" w:eastAsia="es-ES"/>
        </w:rPr>
        <w:t>Notifíquese a las autoridades demandadas por oficio y a la parte actora personalmente.</w:t>
      </w:r>
      <w:r w:rsidRPr="00063889">
        <w:rPr>
          <w:rFonts w:ascii="Century" w:eastAsia="Calibri" w:hAnsi="Century" w:cs="Calibri"/>
          <w:sz w:val="24"/>
          <w:szCs w:val="24"/>
          <w:lang w:val="es-ES" w:eastAsia="es-ES"/>
        </w:rPr>
        <w:t xml:space="preserve"> ------------------------------------------------------------------------------------ </w:t>
      </w:r>
    </w:p>
    <w:p w:rsidR="00063889" w:rsidRPr="00063889" w:rsidRDefault="00063889" w:rsidP="00063889">
      <w:pPr>
        <w:spacing w:after="0" w:line="360" w:lineRule="auto"/>
        <w:ind w:firstLine="709"/>
        <w:jc w:val="both"/>
        <w:rPr>
          <w:rFonts w:ascii="Century" w:eastAsia="Calibri" w:hAnsi="Century" w:cs="Calibri"/>
          <w:sz w:val="24"/>
          <w:szCs w:val="24"/>
          <w:lang w:eastAsia="es-ES"/>
        </w:rPr>
      </w:pPr>
    </w:p>
    <w:p w:rsidR="00063889" w:rsidRPr="00063889" w:rsidRDefault="00063889" w:rsidP="00063889">
      <w:pPr>
        <w:spacing w:after="0" w:line="360" w:lineRule="auto"/>
        <w:ind w:firstLine="709"/>
        <w:jc w:val="both"/>
        <w:rPr>
          <w:rFonts w:ascii="Century" w:eastAsia="Calibri" w:hAnsi="Century" w:cs="Calibri"/>
          <w:b/>
          <w:bCs/>
          <w:sz w:val="24"/>
          <w:szCs w:val="24"/>
          <w:lang w:val="es-ES" w:eastAsia="es-ES"/>
        </w:rPr>
      </w:pPr>
      <w:r w:rsidRPr="00063889">
        <w:rPr>
          <w:rFonts w:ascii="Century" w:eastAsia="Calibri" w:hAnsi="Century" w:cs="Calibri"/>
          <w:sz w:val="24"/>
          <w:szCs w:val="24"/>
          <w:lang w:val="es-ES" w:eastAsia="es-ES"/>
        </w:rPr>
        <w:t xml:space="preserve">En su oportunidad, archívese este expediente, como asunto totalmente concluido y dese de baja en el Libro de Registros que se lleva para tal efecto. - </w:t>
      </w:r>
    </w:p>
    <w:p w:rsidR="00063889" w:rsidRPr="00063889" w:rsidRDefault="00063889" w:rsidP="00063889">
      <w:pPr>
        <w:spacing w:after="0" w:line="360" w:lineRule="auto"/>
        <w:ind w:firstLine="709"/>
        <w:jc w:val="both"/>
        <w:rPr>
          <w:rFonts w:ascii="Century" w:eastAsia="Calibri" w:hAnsi="Century" w:cs="Calibri"/>
          <w:sz w:val="24"/>
          <w:szCs w:val="24"/>
          <w:lang w:val="es-ES" w:eastAsia="es-ES"/>
        </w:rPr>
      </w:pPr>
    </w:p>
    <w:p w:rsidR="00063889" w:rsidRPr="00063889" w:rsidRDefault="00063889" w:rsidP="00063889">
      <w:pPr>
        <w:spacing w:after="0" w:line="360" w:lineRule="auto"/>
        <w:ind w:firstLine="709"/>
        <w:jc w:val="both"/>
        <w:rPr>
          <w:rFonts w:ascii="Century" w:eastAsia="Calibri" w:hAnsi="Century" w:cs="Times New Roman"/>
          <w:sz w:val="24"/>
          <w:szCs w:val="24"/>
          <w:lang w:eastAsia="es-ES"/>
        </w:rPr>
      </w:pPr>
      <w:r w:rsidRPr="00063889">
        <w:rPr>
          <w:rFonts w:ascii="Century" w:eastAsia="Calibri" w:hAnsi="Century" w:cs="Calibri"/>
          <w:sz w:val="24"/>
          <w:szCs w:val="24"/>
          <w:lang w:val="es-ES" w:eastAsia="es-ES"/>
        </w:rPr>
        <w:t xml:space="preserve">Así lo resolvió y firma la Jueza del Juzgado Tercero Administrativo Municipal de León, Guanajuato, licenciada </w:t>
      </w:r>
      <w:r w:rsidRPr="00063889">
        <w:rPr>
          <w:rFonts w:ascii="Century" w:eastAsia="Calibri" w:hAnsi="Century" w:cs="Calibri"/>
          <w:b/>
          <w:bCs/>
          <w:sz w:val="24"/>
          <w:szCs w:val="24"/>
          <w:lang w:val="es-ES" w:eastAsia="es-ES"/>
        </w:rPr>
        <w:t xml:space="preserve">María Guadalupe Garza </w:t>
      </w:r>
      <w:proofErr w:type="spellStart"/>
      <w:r w:rsidRPr="00063889">
        <w:rPr>
          <w:rFonts w:ascii="Century" w:eastAsia="Calibri" w:hAnsi="Century" w:cs="Calibri"/>
          <w:b/>
          <w:bCs/>
          <w:sz w:val="24"/>
          <w:szCs w:val="24"/>
          <w:lang w:val="es-ES" w:eastAsia="es-ES"/>
        </w:rPr>
        <w:t>Lozornio</w:t>
      </w:r>
      <w:proofErr w:type="spellEnd"/>
      <w:r w:rsidRPr="00063889">
        <w:rPr>
          <w:rFonts w:ascii="Century" w:eastAsia="Calibri" w:hAnsi="Century" w:cs="Calibri"/>
          <w:sz w:val="24"/>
          <w:szCs w:val="24"/>
          <w:lang w:val="es-ES" w:eastAsia="es-ES"/>
        </w:rPr>
        <w:t xml:space="preserve">, quien actúa asistida en forma legal con Secretario de Estudio y Cuenta, licenciado </w:t>
      </w:r>
      <w:r w:rsidRPr="00063889">
        <w:rPr>
          <w:rFonts w:ascii="Century" w:eastAsia="Calibri" w:hAnsi="Century" w:cs="Calibri"/>
          <w:b/>
          <w:bCs/>
          <w:sz w:val="24"/>
          <w:szCs w:val="24"/>
          <w:lang w:val="es-ES" w:eastAsia="es-ES"/>
        </w:rPr>
        <w:t xml:space="preserve">Christian Helmut Emmanuel </w:t>
      </w:r>
      <w:proofErr w:type="spellStart"/>
      <w:r w:rsidRPr="00063889">
        <w:rPr>
          <w:rFonts w:ascii="Century" w:eastAsia="Calibri" w:hAnsi="Century" w:cs="Calibri"/>
          <w:b/>
          <w:bCs/>
          <w:sz w:val="24"/>
          <w:szCs w:val="24"/>
          <w:lang w:val="es-ES" w:eastAsia="es-ES"/>
        </w:rPr>
        <w:t>Schonwald</w:t>
      </w:r>
      <w:proofErr w:type="spellEnd"/>
      <w:r w:rsidRPr="00063889">
        <w:rPr>
          <w:rFonts w:ascii="Century" w:eastAsia="Calibri" w:hAnsi="Century" w:cs="Calibri"/>
          <w:b/>
          <w:bCs/>
          <w:sz w:val="24"/>
          <w:szCs w:val="24"/>
          <w:lang w:val="es-ES" w:eastAsia="es-ES"/>
        </w:rPr>
        <w:t xml:space="preserve"> Escalante</w:t>
      </w:r>
      <w:r w:rsidRPr="00063889">
        <w:rPr>
          <w:rFonts w:ascii="Century" w:eastAsia="Calibri" w:hAnsi="Century" w:cs="Calibri"/>
          <w:bCs/>
          <w:sz w:val="24"/>
          <w:szCs w:val="24"/>
          <w:lang w:val="es-ES" w:eastAsia="es-ES"/>
        </w:rPr>
        <w:t>,</w:t>
      </w:r>
      <w:r w:rsidRPr="00063889">
        <w:rPr>
          <w:rFonts w:ascii="Century" w:eastAsia="Calibri" w:hAnsi="Century" w:cs="Calibri"/>
          <w:b/>
          <w:bCs/>
          <w:sz w:val="24"/>
          <w:szCs w:val="24"/>
          <w:lang w:val="es-ES" w:eastAsia="es-ES"/>
        </w:rPr>
        <w:t xml:space="preserve"> </w:t>
      </w:r>
      <w:r w:rsidRPr="00063889">
        <w:rPr>
          <w:rFonts w:ascii="Century" w:eastAsia="Calibri" w:hAnsi="Century" w:cs="Calibri"/>
          <w:sz w:val="24"/>
          <w:szCs w:val="24"/>
          <w:lang w:val="es-ES" w:eastAsia="es-ES"/>
        </w:rPr>
        <w:t>quien da fe. ---</w:t>
      </w:r>
    </w:p>
    <w:p w:rsidR="003E0C02" w:rsidRDefault="003E0C02"/>
    <w:sectPr w:rsidR="003E0C02" w:rsidSect="00D56D5E">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1758" w:footer="19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73C" w:rsidRDefault="00C0273C">
      <w:pPr>
        <w:spacing w:after="0" w:line="240" w:lineRule="auto"/>
      </w:pPr>
      <w:r>
        <w:separator/>
      </w:r>
    </w:p>
  </w:endnote>
  <w:endnote w:type="continuationSeparator" w:id="0">
    <w:p w:rsidR="00C0273C" w:rsidRDefault="00C0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494133" w:rsidRPr="00D56D5E" w:rsidRDefault="00063889">
            <w:pPr>
              <w:pStyle w:val="Piedepgina"/>
              <w:jc w:val="right"/>
              <w:rPr>
                <w:rFonts w:ascii="Century" w:hAnsi="Century"/>
                <w:sz w:val="14"/>
                <w:szCs w:val="14"/>
              </w:rPr>
            </w:pPr>
            <w:r w:rsidRPr="00D56D5E">
              <w:rPr>
                <w:rFonts w:ascii="Century" w:hAnsi="Century"/>
                <w:sz w:val="14"/>
                <w:szCs w:val="14"/>
              </w:rPr>
              <w:t xml:space="preserve">Página </w:t>
            </w:r>
            <w:r w:rsidRPr="00D56D5E">
              <w:rPr>
                <w:rFonts w:ascii="Century" w:hAnsi="Century"/>
                <w:b/>
                <w:bCs/>
                <w:sz w:val="14"/>
                <w:szCs w:val="14"/>
              </w:rPr>
              <w:fldChar w:fldCharType="begin"/>
            </w:r>
            <w:r w:rsidRPr="00D56D5E">
              <w:rPr>
                <w:rFonts w:ascii="Century" w:hAnsi="Century"/>
                <w:b/>
                <w:bCs/>
                <w:sz w:val="14"/>
                <w:szCs w:val="14"/>
              </w:rPr>
              <w:instrText>PAGE</w:instrText>
            </w:r>
            <w:r w:rsidRPr="00D56D5E">
              <w:rPr>
                <w:rFonts w:ascii="Century" w:hAnsi="Century"/>
                <w:b/>
                <w:bCs/>
                <w:sz w:val="14"/>
                <w:szCs w:val="14"/>
              </w:rPr>
              <w:fldChar w:fldCharType="separate"/>
            </w:r>
            <w:r>
              <w:rPr>
                <w:rFonts w:ascii="Century" w:hAnsi="Century"/>
                <w:b/>
                <w:bCs/>
                <w:noProof/>
                <w:sz w:val="14"/>
                <w:szCs w:val="14"/>
              </w:rPr>
              <w:t>16</w:t>
            </w:r>
            <w:r w:rsidRPr="00D56D5E">
              <w:rPr>
                <w:rFonts w:ascii="Century" w:hAnsi="Century"/>
                <w:b/>
                <w:bCs/>
                <w:sz w:val="14"/>
                <w:szCs w:val="14"/>
              </w:rPr>
              <w:fldChar w:fldCharType="end"/>
            </w:r>
            <w:r w:rsidRPr="00D56D5E">
              <w:rPr>
                <w:rFonts w:ascii="Century" w:hAnsi="Century"/>
                <w:sz w:val="14"/>
                <w:szCs w:val="14"/>
              </w:rPr>
              <w:t xml:space="preserve"> de </w:t>
            </w:r>
            <w:r w:rsidRPr="00D56D5E">
              <w:rPr>
                <w:rFonts w:ascii="Century" w:hAnsi="Century"/>
                <w:b/>
                <w:bCs/>
                <w:sz w:val="14"/>
                <w:szCs w:val="14"/>
              </w:rPr>
              <w:fldChar w:fldCharType="begin"/>
            </w:r>
            <w:r w:rsidRPr="00D56D5E">
              <w:rPr>
                <w:rFonts w:ascii="Century" w:hAnsi="Century"/>
                <w:b/>
                <w:bCs/>
                <w:sz w:val="14"/>
                <w:szCs w:val="14"/>
              </w:rPr>
              <w:instrText>NUMPAGES</w:instrText>
            </w:r>
            <w:r w:rsidRPr="00D56D5E">
              <w:rPr>
                <w:rFonts w:ascii="Century" w:hAnsi="Century"/>
                <w:b/>
                <w:bCs/>
                <w:sz w:val="14"/>
                <w:szCs w:val="14"/>
              </w:rPr>
              <w:fldChar w:fldCharType="separate"/>
            </w:r>
            <w:r>
              <w:rPr>
                <w:rFonts w:ascii="Century" w:hAnsi="Century"/>
                <w:b/>
                <w:bCs/>
                <w:noProof/>
                <w:sz w:val="14"/>
                <w:szCs w:val="14"/>
              </w:rPr>
              <w:t>16</w:t>
            </w:r>
            <w:r w:rsidRPr="00D56D5E">
              <w:rPr>
                <w:rFonts w:ascii="Century" w:hAnsi="Century"/>
                <w:b/>
                <w:bCs/>
                <w:sz w:val="14"/>
                <w:szCs w:val="14"/>
              </w:rPr>
              <w:fldChar w:fldCharType="end"/>
            </w:r>
          </w:p>
        </w:sdtContent>
      </w:sdt>
    </w:sdtContent>
  </w:sdt>
  <w:p w:rsidR="00494133" w:rsidRDefault="00C027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494133" w:rsidRPr="00D56D5E" w:rsidRDefault="00063889" w:rsidP="00F10586">
            <w:pPr>
              <w:pStyle w:val="Piedepgina"/>
              <w:jc w:val="right"/>
              <w:rPr>
                <w:rFonts w:ascii="Century" w:hAnsi="Century"/>
                <w:sz w:val="14"/>
                <w:szCs w:val="14"/>
              </w:rPr>
            </w:pPr>
            <w:r w:rsidRPr="00D56D5E">
              <w:rPr>
                <w:rFonts w:ascii="Century" w:hAnsi="Century"/>
                <w:sz w:val="14"/>
                <w:szCs w:val="14"/>
              </w:rPr>
              <w:t xml:space="preserve">Página </w:t>
            </w:r>
            <w:r w:rsidRPr="00D56D5E">
              <w:rPr>
                <w:rFonts w:ascii="Century" w:hAnsi="Century"/>
                <w:bCs/>
                <w:sz w:val="14"/>
                <w:szCs w:val="14"/>
              </w:rPr>
              <w:fldChar w:fldCharType="begin"/>
            </w:r>
            <w:r w:rsidRPr="00D56D5E">
              <w:rPr>
                <w:rFonts w:ascii="Century" w:hAnsi="Century"/>
                <w:bCs/>
                <w:sz w:val="14"/>
                <w:szCs w:val="14"/>
              </w:rPr>
              <w:instrText>PAGE</w:instrText>
            </w:r>
            <w:r w:rsidRPr="00D56D5E">
              <w:rPr>
                <w:rFonts w:ascii="Century" w:hAnsi="Century"/>
                <w:bCs/>
                <w:sz w:val="14"/>
                <w:szCs w:val="14"/>
              </w:rPr>
              <w:fldChar w:fldCharType="separate"/>
            </w:r>
            <w:r w:rsidR="007539E7">
              <w:rPr>
                <w:rFonts w:ascii="Century" w:hAnsi="Century"/>
                <w:bCs/>
                <w:noProof/>
                <w:sz w:val="14"/>
                <w:szCs w:val="14"/>
              </w:rPr>
              <w:t>1</w:t>
            </w:r>
            <w:r w:rsidRPr="00D56D5E">
              <w:rPr>
                <w:rFonts w:ascii="Century" w:hAnsi="Century"/>
                <w:bCs/>
                <w:sz w:val="14"/>
                <w:szCs w:val="14"/>
              </w:rPr>
              <w:fldChar w:fldCharType="end"/>
            </w:r>
            <w:r w:rsidRPr="00D56D5E">
              <w:rPr>
                <w:rFonts w:ascii="Century" w:hAnsi="Century"/>
                <w:sz w:val="14"/>
                <w:szCs w:val="14"/>
              </w:rPr>
              <w:t xml:space="preserve"> de </w:t>
            </w:r>
            <w:r w:rsidRPr="00D56D5E">
              <w:rPr>
                <w:rFonts w:ascii="Century" w:hAnsi="Century"/>
                <w:bCs/>
                <w:sz w:val="14"/>
                <w:szCs w:val="14"/>
              </w:rPr>
              <w:fldChar w:fldCharType="begin"/>
            </w:r>
            <w:r w:rsidRPr="00D56D5E">
              <w:rPr>
                <w:rFonts w:ascii="Century" w:hAnsi="Century"/>
                <w:bCs/>
                <w:sz w:val="14"/>
                <w:szCs w:val="14"/>
              </w:rPr>
              <w:instrText>NUMPAGES</w:instrText>
            </w:r>
            <w:r w:rsidRPr="00D56D5E">
              <w:rPr>
                <w:rFonts w:ascii="Century" w:hAnsi="Century"/>
                <w:bCs/>
                <w:sz w:val="14"/>
                <w:szCs w:val="14"/>
              </w:rPr>
              <w:fldChar w:fldCharType="separate"/>
            </w:r>
            <w:r w:rsidR="007539E7">
              <w:rPr>
                <w:rFonts w:ascii="Century" w:hAnsi="Century"/>
                <w:bCs/>
                <w:noProof/>
                <w:sz w:val="14"/>
                <w:szCs w:val="14"/>
              </w:rPr>
              <w:t>13</w:t>
            </w:r>
            <w:r w:rsidRPr="00D56D5E">
              <w:rPr>
                <w:rFonts w:ascii="Century" w:hAnsi="Century"/>
                <w:bCs/>
                <w:sz w:val="14"/>
                <w:szCs w:val="14"/>
              </w:rPr>
              <w:fldChar w:fldCharType="end"/>
            </w:r>
          </w:p>
        </w:sdtContent>
      </w:sdt>
    </w:sdtContent>
  </w:sdt>
  <w:p w:rsidR="00494133" w:rsidRPr="00D56D5E" w:rsidRDefault="00C0273C">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33" w:rsidRDefault="00C0273C" w:rsidP="00D56D5E">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73C" w:rsidRDefault="00C0273C">
      <w:pPr>
        <w:spacing w:after="0" w:line="240" w:lineRule="auto"/>
      </w:pPr>
      <w:r>
        <w:separator/>
      </w:r>
    </w:p>
  </w:footnote>
  <w:footnote w:type="continuationSeparator" w:id="0">
    <w:p w:rsidR="00C0273C" w:rsidRDefault="00C02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33" w:rsidRDefault="00C0273C">
    <w:pPr>
      <w:pStyle w:val="Encabezado"/>
      <w:framePr w:wrap="around" w:vAnchor="text" w:hAnchor="margin" w:xAlign="center" w:y="1"/>
      <w:rPr>
        <w:rStyle w:val="Nmerodepgina"/>
      </w:rPr>
    </w:pPr>
  </w:p>
  <w:p w:rsidR="00494133" w:rsidRDefault="00C0273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33" w:rsidRPr="00063889" w:rsidRDefault="00C0273C">
    <w:pPr>
      <w:pStyle w:val="Encabezado"/>
      <w:jc w:val="right"/>
      <w:rPr>
        <w:color w:val="7F7F7F"/>
      </w:rPr>
    </w:pPr>
  </w:p>
  <w:p w:rsidR="00494133" w:rsidRPr="00063889" w:rsidRDefault="00C0273C">
    <w:pPr>
      <w:pStyle w:val="Encabezado"/>
      <w:jc w:val="right"/>
      <w:rPr>
        <w:color w:val="7F7F7F"/>
      </w:rPr>
    </w:pPr>
  </w:p>
  <w:p w:rsidR="00494133" w:rsidRPr="00063889" w:rsidRDefault="00063889">
    <w:pPr>
      <w:pStyle w:val="Encabezado"/>
      <w:jc w:val="right"/>
      <w:rPr>
        <w:rFonts w:ascii="Century" w:hAnsi="Century"/>
        <w:color w:val="7F7F7F"/>
      </w:rPr>
    </w:pPr>
    <w:r w:rsidRPr="00063889">
      <w:rPr>
        <w:rFonts w:ascii="Century" w:hAnsi="Century"/>
        <w:color w:val="7F7F7F"/>
      </w:rPr>
      <w:t xml:space="preserve">Expediente número </w:t>
    </w:r>
    <w:sdt>
      <w:sdtPr>
        <w:rPr>
          <w:rFonts w:ascii="Century" w:hAnsi="Century"/>
          <w:color w:val="7F7F7F"/>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r w:rsidR="00B10857">
          <w:rPr>
            <w:rFonts w:ascii="Century" w:hAnsi="Century"/>
            <w:color w:val="7F7F7F"/>
          </w:rPr>
          <w:t xml:space="preserve">     </w:t>
        </w:r>
      </w:sdtContent>
    </w:sdt>
  </w:p>
  <w:p w:rsidR="00494133" w:rsidRPr="00063889" w:rsidRDefault="00C0273C"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494133" w:rsidRPr="00063889" w:rsidRDefault="00063889">
        <w:pPr>
          <w:pStyle w:val="Encabezado"/>
          <w:jc w:val="right"/>
          <w:rPr>
            <w:color w:val="7F7F7F"/>
          </w:rPr>
        </w:pPr>
        <w:r>
          <w:rPr>
            <w:color w:val="7F7F7F"/>
          </w:rPr>
          <w:t xml:space="preserve">     </w:t>
        </w:r>
      </w:p>
    </w:sdtContent>
  </w:sdt>
  <w:p w:rsidR="00494133" w:rsidRPr="00063889" w:rsidRDefault="00C0273C">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D0FE5"/>
    <w:multiLevelType w:val="hybridMultilevel"/>
    <w:tmpl w:val="AFB2BC88"/>
    <w:lvl w:ilvl="0" w:tplc="918AEC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89"/>
    <w:rsid w:val="00063889"/>
    <w:rsid w:val="003E0C02"/>
    <w:rsid w:val="007539E7"/>
    <w:rsid w:val="009A4D6A"/>
    <w:rsid w:val="00B10857"/>
    <w:rsid w:val="00C0273C"/>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1E0A"/>
  <w15:chartTrackingRefBased/>
  <w15:docId w15:val="{7FFC65FF-4176-4EBD-88BF-05D39888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63889"/>
    <w:rPr>
      <w:rFonts w:cs="Times New Roman"/>
    </w:rPr>
  </w:style>
  <w:style w:type="paragraph" w:styleId="Encabezado">
    <w:name w:val="header"/>
    <w:basedOn w:val="Normal"/>
    <w:link w:val="EncabezadoCar"/>
    <w:uiPriority w:val="99"/>
    <w:rsid w:val="00063889"/>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06388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638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388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4126</Words>
  <Characters>22698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2018-05-29T16:00:00Z</dcterms:created>
  <dcterms:modified xsi:type="dcterms:W3CDTF">2018-05-29T16:00:00Z</dcterms:modified>
</cp:coreProperties>
</file>